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false"/>
        <w:spacing w:before="0" w:after="0"/>
        <w:jc w:val="center"/>
        <w:textAlignment w:val="auto"/>
        <w:rPr>
          <w:rFonts w:ascii="Arial" w:hAnsi="Arial" w:eastAsia="Times New Roman" w:cs="Arial"/>
          <w:i/>
          <w:i/>
          <w:sz w:val="32"/>
          <w:szCs w:val="20"/>
          <w:lang w:eastAsia="it-IT"/>
        </w:rPr>
      </w:pPr>
      <w:bookmarkStart w:id="0" w:name="_inizio"/>
      <w:bookmarkEnd w:id="0"/>
      <w:r>
        <w:rPr>
          <w:rFonts w:eastAsia="Times New Roman" w:cs="Arial" w:ascii="Arial" w:hAnsi="Arial"/>
          <w:i/>
          <w:iCs/>
          <w:sz w:val="32"/>
          <w:szCs w:val="20"/>
          <w:lang w:eastAsia="it-IT"/>
        </w:rPr>
        <w:t>Comune di ……………………………………………</w:t>
      </w:r>
    </w:p>
    <w:p>
      <w:pPr>
        <w:pStyle w:val="Normal"/>
        <w:widowControl w:val="false"/>
        <w:suppressAutoHyphens w:val="false"/>
        <w:spacing w:before="360" w:after="240"/>
        <w:jc w:val="center"/>
        <w:textAlignment w:val="auto"/>
        <w:rPr>
          <w:rFonts w:ascii="Arial" w:hAnsi="Arial" w:eastAsia="Times New Roman" w:cs="Arial"/>
          <w:i/>
          <w:i/>
          <w:iCs/>
          <w:sz w:val="28"/>
          <w:szCs w:val="20"/>
          <w:lang w:eastAsia="it-IT"/>
        </w:rPr>
      </w:pPr>
      <w:r>
        <w:rPr>
          <w:rFonts w:eastAsia="Times New Roman" w:cs="Arial" w:ascii="Arial" w:hAnsi="Arial"/>
          <w:i/>
          <w:iCs/>
          <w:sz w:val="28"/>
          <w:szCs w:val="20"/>
          <w:lang w:eastAsia="it-IT"/>
        </w:rPr>
        <w:t>Provincia di ….................................………</w:t>
      </w:r>
    </w:p>
    <w:p>
      <w:pPr>
        <w:pStyle w:val="Normal"/>
        <w:widowControl w:val="false"/>
        <w:spacing w:before="120" w:after="120"/>
        <w:jc w:val="center"/>
        <w:rPr>
          <w:rFonts w:cs="Arial"/>
        </w:rPr>
      </w:pPr>
      <w:r>
        <w:rPr>
          <w:rFonts w:cs="Arial" w:ascii="Arial" w:hAnsi="Arial"/>
          <w:b/>
          <w:i/>
          <w:iCs/>
          <w:szCs w:val="20"/>
        </w:rPr>
        <w:t>Sportello unico per l’edilizia</w:t>
      </w:r>
    </w:p>
    <w:tbl>
      <w:tblPr>
        <w:tblW w:w="9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64"/>
      </w:tblGrid>
      <w:tr>
        <w:trPr/>
        <w:tc>
          <w:tcPr>
            <w:tcW w:w="9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ormal"/>
              <w:widowControl w:val="false"/>
              <w:spacing w:before="240" w:after="240"/>
              <w:jc w:val="center"/>
              <w:rPr>
                <w:rFonts w:ascii="Arial" w:hAnsi="Arial" w:cs="Arial"/>
                <w:b/>
                <w:b/>
                <w:bCs/>
                <w:sz w:val="20"/>
                <w:szCs w:val="20"/>
              </w:rPr>
            </w:pPr>
            <w:r>
              <w:rPr>
                <w:rFonts w:cs="Arial" w:ascii="Arial" w:hAnsi="Arial"/>
                <w:b/>
                <w:bCs/>
                <w:sz w:val="20"/>
                <w:szCs w:val="20"/>
              </w:rPr>
              <w:t xml:space="preserve">Codice dei beni culturali e del </w:t>
            </w:r>
            <w:r>
              <w:rPr>
                <w:rFonts w:cs="Arial" w:ascii="Arial" w:hAnsi="Arial"/>
                <w:b/>
                <w:bCs/>
                <w:u w:val="single"/>
              </w:rPr>
              <w:t>PAESAGGIO</w:t>
            </w:r>
          </w:p>
        </w:tc>
      </w:tr>
    </w:tbl>
    <w:p>
      <w:pPr>
        <w:pStyle w:val="Nessunaspaziatura"/>
        <w:jc w:val="both"/>
        <w:rPr/>
      </w:pPr>
      <w:r>
        <w:rPr/>
      </w:r>
    </w:p>
    <w:p>
      <w:pPr>
        <w:pStyle w:val="Normal"/>
        <w:pBdr>
          <w:top w:val="single" w:sz="4" w:space="0" w:color="000000"/>
          <w:left w:val="single" w:sz="4" w:space="4" w:color="000000"/>
          <w:bottom w:val="single" w:sz="4" w:space="1" w:color="000000"/>
          <w:right w:val="single" w:sz="4" w:space="4" w:color="000000"/>
        </w:pBdr>
        <w:shd w:fill="F2F2F2" w:val="clear"/>
        <w:spacing w:before="120" w:after="120"/>
        <w:jc w:val="both"/>
        <w:rPr>
          <w:rFonts w:ascii="Arial" w:hAnsi="Arial" w:cs="Arial"/>
          <w:i/>
          <w:i/>
          <w:sz w:val="18"/>
          <w:szCs w:val="20"/>
        </w:rPr>
      </w:pPr>
      <w:r>
        <w:rPr>
          <w:rFonts w:cs="Arial" w:ascii="Arial" w:hAnsi="Arial"/>
          <w:i/>
          <w:sz w:val="18"/>
          <w:szCs w:val="20"/>
        </w:rPr>
        <w:t>Scheda tecnica di SINTESI della regolamentazione relativa ai beni immobili vincolati dal punto</w:t>
      </w:r>
      <w:r>
        <w:rPr>
          <w:rFonts w:cs="Arial" w:ascii="Arial" w:hAnsi="Arial"/>
          <w:sz w:val="18"/>
          <w:szCs w:val="20"/>
        </w:rPr>
        <w:t xml:space="preserve"> </w:t>
      </w:r>
      <w:r>
        <w:rPr>
          <w:rFonts w:cs="Arial" w:ascii="Arial" w:hAnsi="Arial"/>
          <w:i/>
          <w:sz w:val="18"/>
          <w:szCs w:val="20"/>
        </w:rPr>
        <w:t>di vista paesaggistico</w:t>
      </w:r>
    </w:p>
    <w:p>
      <w:pPr>
        <w:pStyle w:val="Normal"/>
        <w:spacing w:before="120" w:after="120"/>
        <w:jc w:val="center"/>
        <w:rPr>
          <w:rFonts w:ascii="Arial" w:hAnsi="Arial" w:cs="Arial"/>
          <w:sz w:val="20"/>
          <w:szCs w:val="20"/>
        </w:rPr>
      </w:pPr>
      <w:r>
        <w:rPr>
          <w:rFonts w:cs="Arial" w:ascii="Arial" w:hAnsi="Arial"/>
          <w:i/>
          <w:sz w:val="20"/>
          <w:szCs w:val="20"/>
        </w:rPr>
        <w:t>(Nell’attività edilizia)</w:t>
      </w:r>
    </w:p>
    <w:p>
      <w:pPr>
        <w:pStyle w:val="Normal"/>
        <w:pBdr>
          <w:top w:val="single" w:sz="4" w:space="1" w:color="000000"/>
          <w:left w:val="single" w:sz="4" w:space="4" w:color="000000"/>
          <w:bottom w:val="single" w:sz="4" w:space="1" w:color="000000"/>
          <w:right w:val="single" w:sz="4" w:space="4" w:color="000000"/>
        </w:pBdr>
        <w:shd w:fill="FFFFFF" w:val="clear"/>
        <w:spacing w:before="120" w:after="120"/>
        <w:ind w:right="-1" w:hanging="0"/>
        <w:jc w:val="both"/>
        <w:rPr>
          <w:rFonts w:ascii="Arial" w:hAnsi="Arial" w:cs="Arial"/>
          <w:b/>
          <w:b/>
          <w:i/>
          <w:i/>
          <w:sz w:val="20"/>
          <w:szCs w:val="20"/>
        </w:rPr>
      </w:pPr>
      <w:r>
        <w:rPr>
          <w:rFonts w:cs="Arial" w:ascii="Arial" w:hAnsi="Arial"/>
          <w:b/>
          <w:i/>
          <w:sz w:val="20"/>
          <w:szCs w:val="20"/>
        </w:rPr>
        <w:t>Normativa: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pPr>
      <w:r>
        <w:rPr>
          <w:rFonts w:cs="Arial" w:ascii="Arial" w:hAnsi="Arial"/>
          <w:i/>
          <w:sz w:val="20"/>
          <w:szCs w:val="20"/>
        </w:rPr>
        <w:t>D. Lgs. n. 42 del 22 gennaio 2004 e successive modificazioni.</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Normativa regionale. Strumenti urbanistici. (Verificare l’ultima normativa specifica)</w:t>
      </w:r>
    </w:p>
    <w:p>
      <w:pPr>
        <w:pStyle w:val="Normal"/>
        <w:numPr>
          <w:ilvl w:val="0"/>
          <w:numId w:val="10"/>
        </w:numPr>
        <w:pBdr>
          <w:top w:val="single" w:sz="4" w:space="1" w:color="000000"/>
          <w:left w:val="single" w:sz="4" w:space="4" w:color="000000"/>
          <w:bottom w:val="single" w:sz="4" w:space="1" w:color="000000"/>
          <w:right w:val="single" w:sz="4" w:space="4" w:color="000000"/>
        </w:pBdr>
        <w:shd w:fill="FFFFFF" w:val="clea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Atto necessario per ottenere o attivare il titolo </w:t>
      </w:r>
      <w:r>
        <w:rPr>
          <w:rFonts w:cs="Arial" w:ascii="Arial" w:hAnsi="Arial"/>
          <w:i/>
          <w:sz w:val="20"/>
          <w:szCs w:val="20"/>
          <w:shd w:fill="FFFFFF" w:val="clear"/>
        </w:rPr>
        <w:t>abilitativo</w:t>
      </w:r>
      <w:r>
        <w:rPr>
          <w:rFonts w:cs="Arial" w:ascii="Arial" w:hAnsi="Arial"/>
          <w:i/>
          <w:sz w:val="20"/>
          <w:szCs w:val="20"/>
        </w:rPr>
        <w:t xml:space="preserve">: </w:t>
      </w:r>
      <w:r>
        <w:rPr>
          <w:rFonts w:cs="Arial" w:ascii="Arial" w:hAnsi="Arial"/>
          <w:i/>
          <w:sz w:val="20"/>
          <w:szCs w:val="20"/>
          <w:u w:val="single"/>
        </w:rPr>
        <w:t>Autorizzazione</w:t>
      </w:r>
      <w:r>
        <w:rPr>
          <w:rStyle w:val="FootnoteCharacters"/>
          <w:rStyle w:val="FootnoteAnchor"/>
          <w:rFonts w:cs="Arial" w:ascii="Arial" w:hAnsi="Arial"/>
          <w:b/>
          <w:i/>
          <w:sz w:val="18"/>
          <w:szCs w:val="20"/>
          <w:u w:val="single"/>
        </w:rPr>
        <w:footnoteReference w:id="2"/>
      </w:r>
      <w:r>
        <w:rPr>
          <w:rFonts w:cs="Arial" w:ascii="Arial" w:hAnsi="Arial"/>
          <w:b/>
          <w:i/>
          <w:sz w:val="18"/>
          <w:szCs w:val="20"/>
          <w:u w:val="single"/>
        </w:rPr>
        <w:t xml:space="preserve"> </w:t>
      </w:r>
      <w:r>
        <w:rPr>
          <w:rFonts w:cs="Arial" w:ascii="Arial" w:hAnsi="Arial"/>
          <w:b/>
          <w:i/>
          <w:sz w:val="20"/>
          <w:szCs w:val="20"/>
          <w:u w:val="single"/>
        </w:rPr>
        <w:t>“Paesaggistica Ordinaria</w:t>
      </w:r>
      <w:r>
        <w:rPr>
          <w:rFonts w:cs="Arial" w:ascii="Arial" w:hAnsi="Arial"/>
          <w:b/>
          <w:i/>
          <w:sz w:val="18"/>
          <w:szCs w:val="20"/>
          <w:u w:val="single"/>
        </w:rPr>
        <w:t>”</w:t>
      </w:r>
    </w:p>
    <w:p>
      <w:pPr>
        <w:pStyle w:val="Normal"/>
        <w:numPr>
          <w:ilvl w:val="0"/>
          <w:numId w:val="17"/>
        </w:numPr>
        <w:pBdr>
          <w:top w:val="single" w:sz="4" w:space="1" w:color="000000"/>
          <w:left w:val="single" w:sz="4" w:space="4" w:color="000000"/>
          <w:bottom w:val="single" w:sz="4" w:space="1" w:color="000000"/>
          <w:right w:val="single" w:sz="4" w:space="4" w:color="000000"/>
        </w:pBdr>
        <w:shd w:fill="FFFFFF" w:val="clear"/>
        <w:tabs>
          <w:tab w:val="left" w:pos="360" w:leader="none"/>
        </w:tabs>
        <w:suppressAutoHyphens w:val="false"/>
        <w:spacing w:before="120" w:after="120"/>
        <w:ind w:left="360" w:right="-1" w:hanging="360"/>
        <w:jc w:val="both"/>
        <w:textAlignment w:val="auto"/>
        <w:rPr>
          <w:rFonts w:ascii="Arial" w:hAnsi="Arial" w:cs="Arial"/>
          <w:i/>
          <w:i/>
          <w:color w:val="000000"/>
          <w:sz w:val="20"/>
          <w:szCs w:val="20"/>
        </w:rPr>
      </w:pPr>
      <w:r>
        <w:rPr>
          <w:rFonts w:cs="Arial" w:ascii="Arial" w:hAnsi="Arial"/>
          <w:i/>
          <w:color w:val="000000"/>
          <w:sz w:val="20"/>
          <w:szCs w:val="20"/>
        </w:rPr>
        <w:t xml:space="preserve">Autorità competente al </w:t>
      </w:r>
      <w:r>
        <w:rPr>
          <w:rFonts w:cs="Arial" w:ascii="Arial" w:hAnsi="Arial"/>
          <w:b/>
          <w:i/>
          <w:color w:val="000000"/>
          <w:sz w:val="20"/>
          <w:szCs w:val="20"/>
        </w:rPr>
        <w:t>RILASCIO</w:t>
      </w:r>
      <w:r>
        <w:rPr>
          <w:rFonts w:cs="Arial" w:ascii="Arial" w:hAnsi="Arial"/>
          <w:i/>
          <w:color w:val="000000"/>
          <w:sz w:val="20"/>
          <w:szCs w:val="20"/>
        </w:rPr>
        <w:t xml:space="preserve">, a ricevere il rapporto e adottare i provvedimenti sanzionatori amministrativi: </w:t>
      </w:r>
      <w:r>
        <w:rPr>
          <w:rFonts w:cs="Arial" w:ascii="Arial" w:hAnsi="Arial"/>
          <w:b/>
          <w:i/>
          <w:color w:val="000000"/>
          <w:sz w:val="20"/>
          <w:szCs w:val="20"/>
        </w:rPr>
        <w:t xml:space="preserve">Regione </w:t>
      </w:r>
      <w:r>
        <w:rPr>
          <w:rFonts w:cs="Arial" w:ascii="Arial" w:hAnsi="Arial"/>
          <w:i/>
          <w:color w:val="000000"/>
          <w:sz w:val="20"/>
          <w:szCs w:val="20"/>
        </w:rPr>
        <w:t xml:space="preserve">– (Ovvero: </w:t>
      </w:r>
      <w:r>
        <w:rPr>
          <w:rFonts w:cs="Arial" w:ascii="Arial" w:hAnsi="Arial"/>
          <w:b/>
          <w:i/>
          <w:color w:val="000000"/>
          <w:sz w:val="20"/>
          <w:szCs w:val="20"/>
          <w:u w:val="single"/>
        </w:rPr>
        <w:t>Sportello unico per l’edilizia</w:t>
      </w:r>
      <w:r>
        <w:rPr>
          <w:rFonts w:cs="Arial" w:ascii="Arial" w:hAnsi="Arial"/>
          <w:i/>
          <w:color w:val="000000"/>
          <w:sz w:val="20"/>
          <w:szCs w:val="20"/>
        </w:rPr>
        <w:t>, o altro ente se delegato) –</w:t>
      </w:r>
    </w:p>
    <w:p>
      <w:pPr>
        <w:pStyle w:val="Nessunaspaziatura"/>
        <w:spacing w:before="120" w:after="120"/>
        <w:jc w:val="both"/>
        <w:rPr>
          <w:rFonts w:ascii="Arial" w:hAnsi="Arial" w:cs="Arial"/>
          <w:i/>
          <w:i/>
          <w:color w:val="000000"/>
          <w:sz w:val="20"/>
          <w:szCs w:val="20"/>
        </w:rPr>
      </w:pPr>
      <w:r>
        <w:rPr>
          <w:rFonts w:cs="Arial" w:ascii="Arial" w:hAnsi="Arial"/>
          <w:i/>
          <w:color w:val="000000"/>
          <w:sz w:val="20"/>
          <w:szCs w:val="20"/>
        </w:rPr>
      </w:r>
    </w:p>
    <w:tbl>
      <w:tblPr>
        <w:tblW w:w="989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99"/>
      </w:tblGrid>
      <w:tr>
        <w:trPr/>
        <w:tc>
          <w:tcPr>
            <w:tcW w:w="9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tcPr>
          <w:p>
            <w:pPr>
              <w:pStyle w:val="Nessunaspaziatura"/>
              <w:spacing w:before="120" w:after="120"/>
              <w:jc w:val="both"/>
              <w:rPr>
                <w:rFonts w:ascii="Arial" w:hAnsi="Arial" w:cs="Arial"/>
                <w:b/>
                <w:b/>
                <w:i/>
                <w:i/>
                <w:color w:val="000000"/>
              </w:rPr>
            </w:pPr>
            <w:r>
              <w:rPr>
                <w:rFonts w:cs="Arial" w:ascii="Arial" w:hAnsi="Arial"/>
                <w:b/>
                <w:i/>
                <w:color w:val="000000"/>
              </w:rPr>
              <w:t>Glossario:</w:t>
            </w:r>
          </w:p>
          <w:p>
            <w:pPr>
              <w:pStyle w:val="Nessunaspaziatura"/>
              <w:spacing w:before="120" w:after="120"/>
              <w:jc w:val="both"/>
              <w:rPr>
                <w:rFonts w:ascii="Arial" w:hAnsi="Arial" w:cs="Arial"/>
                <w:b/>
                <w:b/>
                <w:i/>
                <w:i/>
                <w:color w:val="000000"/>
              </w:rPr>
            </w:pPr>
            <w:r>
              <w:rPr>
                <w:rFonts w:cs="Arial" w:ascii="Arial" w:hAnsi="Arial"/>
                <w:b/>
                <w:i/>
                <w:color w:val="000000"/>
              </w:rPr>
              <w:t xml:space="preserve">Sezione II – Edilizia - </w:t>
            </w:r>
            <w:r>
              <w:rPr>
                <w:rFonts w:cs="Arial" w:ascii="Arial" w:hAnsi="Arial"/>
                <w:b/>
                <w:i/>
                <w:color w:val="000000"/>
                <w:position w:val="0"/>
              </w:rPr>
              <w:t>Ricognizione degli interventi edilizi e dei relativi regimi amministrativi</w:t>
            </w:r>
          </w:p>
          <w:p>
            <w:pPr>
              <w:pStyle w:val="Nessunaspaziatura"/>
              <w:spacing w:before="120" w:after="120"/>
              <w:ind w:right="-219" w:hanging="0"/>
              <w:jc w:val="both"/>
              <w:rPr/>
            </w:pPr>
            <w:r>
              <w:rPr>
                <w:rFonts w:cs="Arial" w:ascii="Arial" w:hAnsi="Arial"/>
                <w:i/>
                <w:color w:val="000000"/>
              </w:rPr>
              <w:t>Tabella A, Sez. II allegata al D. Lgs. 222/2016.</w:t>
            </w:r>
          </w:p>
        </w:tc>
      </w:tr>
    </w:tbl>
    <w:p>
      <w:pPr>
        <w:pStyle w:val="Nessunaspaziatura"/>
        <w:spacing w:before="120" w:after="120"/>
        <w:jc w:val="both"/>
        <w:rPr>
          <w:rFonts w:ascii="Arial" w:hAnsi="Arial" w:cs="Arial"/>
          <w:i/>
          <w:i/>
          <w:color w:val="000000"/>
        </w:rPr>
      </w:pPr>
      <w:r>
        <w:rPr>
          <w:rFonts w:cs="Arial" w:ascii="Arial" w:hAnsi="Arial"/>
          <w:i/>
          <w:color w:val="000000"/>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4"/>
        <w:gridCol w:w="2080"/>
        <w:gridCol w:w="2206"/>
        <w:gridCol w:w="3144"/>
        <w:gridCol w:w="1650"/>
      </w:tblGrid>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Lavori edili</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Titolo</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pPr>
            <w:r>
              <w:rPr>
                <w:rFonts w:cs="Arial" w:ascii="Arial" w:hAnsi="Arial"/>
                <w:b/>
                <w:i/>
              </w:rPr>
              <w:t>Ufficio di presentazione</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Norme</w:t>
            </w:r>
          </w:p>
        </w:tc>
      </w:tr>
      <w:tr>
        <w:trPr/>
        <w:tc>
          <w:tcPr>
            <w:tcW w:w="784"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highlight w:val="lightGray"/>
              </w:rPr>
            </w:pPr>
            <w:r>
              <w:rPr>
                <w:rFonts w:cs="Arial" w:ascii="Arial" w:hAnsi="Arial"/>
                <w:b/>
                <w:i/>
              </w:rPr>
              <w:t>61</w:t>
            </w:r>
          </w:p>
        </w:tc>
        <w:tc>
          <w:tcPr>
            <w:tcW w:w="2080"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essunaspaziatura"/>
              <w:spacing w:before="120" w:after="120"/>
              <w:jc w:val="both"/>
              <w:rPr/>
            </w:pPr>
            <w:r>
              <w:rPr>
                <w:rFonts w:cs="Arial" w:ascii="Arial" w:hAnsi="Arial"/>
                <w:i/>
              </w:rPr>
              <w:t xml:space="preserve">Interventi edilizi che alterano i luoghi o l’aspetto esteriore degli edifici e che ricadono in zona sottoposta </w:t>
            </w:r>
            <w:r>
              <w:rPr>
                <w:rFonts w:cs="Arial" w:ascii="Arial" w:hAnsi="Arial"/>
                <w:b/>
                <w:i/>
              </w:rPr>
              <w:t>a tutela paesaggistica.</w:t>
            </w:r>
          </w:p>
          <w:p>
            <w:pPr>
              <w:pStyle w:val="Nessunaspaziatura"/>
              <w:spacing w:before="120" w:after="120"/>
              <w:jc w:val="both"/>
              <w:rPr>
                <w:rFonts w:ascii="Arial" w:hAnsi="Arial" w:cs="Arial"/>
                <w:i/>
                <w:i/>
                <w:highlight w:val="lightGray"/>
              </w:rPr>
            </w:pPr>
            <w:r>
              <w:rPr>
                <w:rFonts w:cs="Arial" w:ascii="Arial" w:hAnsi="Arial"/>
                <w:i/>
              </w:rPr>
              <w:t>(Non rientranti fra quelli soggetti ad autorizzazione semplificata)</w:t>
            </w:r>
          </w:p>
        </w:tc>
        <w:tc>
          <w:tcPr>
            <w:tcW w:w="2206" w:type="dxa"/>
            <w:tcBorders>
              <w:top w:val="single" w:sz="4" w:space="0" w:color="000000"/>
              <w:left w:val="single" w:sz="4" w:space="0" w:color="000000"/>
              <w:bottom w:val="single" w:sz="4" w:space="0" w:color="000000"/>
              <w:insideH w:val="single" w:sz="4" w:space="0" w:color="000000"/>
            </w:tcBorders>
            <w:shd w:fill="F2F2F2" w:val="clear"/>
            <w:tcMar>
              <w:left w:w="103" w:type="dxa"/>
            </w:tcMar>
            <w:vAlign w:val="center"/>
          </w:tcPr>
          <w:p>
            <w:pPr>
              <w:pStyle w:val="Nessunaspaziatura"/>
              <w:spacing w:before="120" w:after="120"/>
              <w:jc w:val="center"/>
              <w:rPr>
                <w:rFonts w:ascii="Arial" w:hAnsi="Arial" w:cs="Arial"/>
                <w:b/>
                <w:b/>
                <w:i/>
                <w:i/>
              </w:rPr>
            </w:pPr>
            <w:r>
              <w:rPr>
                <w:rFonts w:cs="Arial" w:ascii="Arial" w:hAnsi="Arial"/>
                <w:b/>
                <w:i/>
              </w:rPr>
              <w:t>Autorizzazione</w:t>
            </w:r>
          </w:p>
          <w:p>
            <w:pPr>
              <w:pStyle w:val="Nessunaspaziatura"/>
              <w:spacing w:before="120" w:after="120"/>
              <w:jc w:val="center"/>
              <w:rPr>
                <w:rFonts w:ascii="Arial" w:hAnsi="Arial" w:cs="Arial"/>
                <w:i/>
                <w:i/>
                <w:highlight w:val="lightGray"/>
              </w:rPr>
            </w:pPr>
            <w:r>
              <w:rPr>
                <w:rFonts w:cs="Arial" w:ascii="Arial" w:hAnsi="Arial"/>
                <w:i/>
              </w:rPr>
              <w:t>(Oltre al titolo abilitativo: Permesso/SCIA/CILA)</w:t>
            </w:r>
          </w:p>
        </w:tc>
        <w:tc>
          <w:tcPr>
            <w:tcW w:w="3144" w:type="dxa"/>
            <w:tcBorders>
              <w:top w:val="single" w:sz="4" w:space="0" w:color="000000"/>
              <w:left w:val="single" w:sz="4" w:space="0" w:color="000000"/>
              <w:bottom w:val="single" w:sz="4" w:space="0" w:color="000000"/>
              <w:insideH w:val="single" w:sz="4" w:space="0" w:color="000000"/>
            </w:tcBorders>
            <w:shd w:fill="F2F2F2" w:val="clear"/>
            <w:tcMar>
              <w:left w:w="103" w:type="dxa"/>
            </w:tcMar>
          </w:tcPr>
          <w:p>
            <w:pPr>
              <w:pStyle w:val="Normal"/>
              <w:spacing w:before="120" w:after="120"/>
              <w:jc w:val="both"/>
              <w:rPr/>
            </w:pPr>
            <w:r>
              <w:rPr>
                <w:rFonts w:cs="Arial" w:ascii="Arial" w:hAnsi="Arial"/>
                <w:i/>
                <w:sz w:val="20"/>
                <w:szCs w:val="20"/>
              </w:rPr>
              <w:t xml:space="preserve">L’istanza di autorizzazione deve essere presentata allo </w:t>
            </w:r>
            <w:r>
              <w:rPr>
                <w:rFonts w:cs="Arial" w:ascii="Arial" w:hAnsi="Arial"/>
                <w:b/>
                <w:i/>
                <w:sz w:val="20"/>
                <w:szCs w:val="20"/>
              </w:rPr>
              <w:t>Sportello unico del Comune</w:t>
            </w:r>
            <w:r>
              <w:rPr>
                <w:rFonts w:cs="Arial" w:ascii="Arial" w:hAnsi="Arial"/>
                <w:i/>
                <w:sz w:val="20"/>
                <w:szCs w:val="20"/>
              </w:rPr>
              <w:t xml:space="preserve"> contestualmente alla presentazione della CILA/SCIA. </w:t>
            </w:r>
          </w:p>
          <w:p>
            <w:pPr>
              <w:pStyle w:val="Normal"/>
              <w:spacing w:before="120" w:after="120"/>
              <w:jc w:val="both"/>
              <w:rPr>
                <w:rFonts w:ascii="Arial" w:hAnsi="Arial" w:cs="Arial"/>
                <w:i/>
                <w:i/>
                <w:sz w:val="20"/>
                <w:szCs w:val="20"/>
              </w:rPr>
            </w:pPr>
            <w:r>
              <w:rPr>
                <w:rFonts w:cs="Arial" w:ascii="Arial" w:hAnsi="Arial"/>
                <w:i/>
                <w:sz w:val="20"/>
                <w:szCs w:val="20"/>
              </w:rPr>
              <w:t xml:space="preserve">Pertanto la CILA/SCIA non hanno effetto fino al rilascio dell’autorizzazione. </w:t>
            </w:r>
          </w:p>
          <w:p>
            <w:pPr>
              <w:pStyle w:val="Nessunaspaziatura"/>
              <w:spacing w:before="120" w:after="120"/>
              <w:jc w:val="both"/>
              <w:rPr>
                <w:rFonts w:ascii="Arial" w:hAnsi="Arial" w:cs="Arial"/>
                <w:i/>
                <w:i/>
                <w:highlight w:val="lightGray"/>
              </w:rPr>
            </w:pPr>
            <w:r>
              <w:rPr>
                <w:rFonts w:cs="Arial" w:ascii="Arial" w:hAnsi="Arial"/>
                <w:i/>
              </w:rPr>
              <w:t>La conferenza dei servizi è convocata entro 5 giorni dal ricevimento dell’istanza.</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2F2F2" w:val="clear"/>
            <w:tcMar>
              <w:left w:w="103" w:type="dxa"/>
            </w:tcMar>
            <w:vAlign w:val="center"/>
          </w:tcPr>
          <w:p>
            <w:pPr>
              <w:pStyle w:val="Nessunaspaziatura"/>
              <w:spacing w:before="120" w:after="120"/>
              <w:jc w:val="center"/>
              <w:rPr>
                <w:rFonts w:ascii="Arial" w:hAnsi="Arial" w:cs="Arial"/>
                <w:i/>
                <w:i/>
                <w:highlight w:val="lightGray"/>
              </w:rPr>
            </w:pPr>
            <w:r>
              <w:rPr>
                <w:rFonts w:cs="Arial" w:ascii="Arial" w:hAnsi="Arial"/>
                <w:i/>
              </w:rPr>
              <w:t>D. Lgs. n. 42/2004, art. 146</w:t>
            </w:r>
          </w:p>
        </w:tc>
      </w:tr>
    </w:tbl>
    <w:p>
      <w:pPr>
        <w:pStyle w:val="Nessunaspaziatura"/>
        <w:spacing w:before="120" w:after="120"/>
        <w:jc w:val="both"/>
        <w:rPr>
          <w:rFonts w:ascii="Arial" w:hAnsi="Arial" w:cs="Arial"/>
        </w:rPr>
      </w:pPr>
      <w:r>
        <w:rPr>
          <w:rFonts w:cs="Arial" w:ascii="Arial" w:hAnsi="Arial"/>
        </w:rPr>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Prevalenza sugli strumenti urbanistici</w:t>
      </w:r>
      <w:r>
        <w:rPr>
          <w:rStyle w:val="FootnoteCharacters"/>
          <w:rFonts w:cs="Arial" w:ascii="Arial" w:hAnsi="Arial"/>
          <w:i/>
        </w:rPr>
        <w:t xml:space="preserve"> </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i/>
          <w:i/>
        </w:rPr>
      </w:pPr>
      <w:r>
        <w:rPr>
          <w:rFonts w:cs="Arial" w:ascii="Arial" w:hAnsi="Arial"/>
          <w:i/>
        </w:rPr>
        <w:t>Il Consiglio di Stato stabilisce che la prevalenza del piano paesaggistico rispetto ai restanti piani urbanistici e/o settoriali, opera limitatamente alla tutela del paesaggio.</w:t>
      </w:r>
    </w:p>
    <w:p>
      <w:pPr>
        <w:pStyle w:val="Normal"/>
        <w:spacing w:before="120" w:after="120"/>
        <w:ind w:right="-1" w:hanging="0"/>
        <w:jc w:val="both"/>
        <w:rPr>
          <w:rFonts w:ascii="Arial" w:hAnsi="Arial" w:cs="Arial"/>
          <w:i/>
          <w:i/>
          <w:iCs/>
          <w:sz w:val="16"/>
          <w:szCs w:val="20"/>
        </w:rPr>
      </w:pPr>
      <w:r>
        <w:rPr>
          <w:rFonts w:cs="Arial" w:ascii="Arial" w:hAnsi="Arial"/>
          <w:b/>
          <w:i/>
          <w:iCs/>
          <w:sz w:val="20"/>
          <w:szCs w:val="20"/>
        </w:rPr>
        <w:t xml:space="preserve">Immobili e aree di notevole interesse pubblico </w:t>
      </w:r>
      <w:r>
        <w:rPr>
          <w:rFonts w:cs="Arial" w:ascii="Arial" w:hAnsi="Arial"/>
          <w:i/>
          <w:iCs/>
          <w:sz w:val="16"/>
          <w:szCs w:val="20"/>
        </w:rPr>
        <w:t>(art. 136)</w:t>
      </w:r>
    </w:p>
    <w:p>
      <w:pPr>
        <w:pStyle w:val="Normal"/>
        <w:tabs>
          <w:tab w:val="left" w:pos="7740" w:leader="none"/>
        </w:tabs>
        <w:spacing w:before="120" w:after="120"/>
        <w:ind w:right="-1" w:hanging="0"/>
        <w:jc w:val="both"/>
        <w:rPr/>
      </w:pPr>
      <w:r>
        <w:rPr>
          <w:rFonts w:cs="Arial" w:ascii="Arial" w:hAnsi="Arial"/>
          <w:i/>
          <w:sz w:val="20"/>
          <w:szCs w:val="20"/>
        </w:rPr>
        <w:t>Sono soggetti alle disposizioni in ragione del loro notevole i</w:t>
      </w:r>
      <w:r>
        <w:rPr>
          <w:rFonts w:cs="Arial" w:ascii="Arial" w:hAnsi="Arial"/>
          <w:b/>
          <w:i/>
          <w:sz w:val="20"/>
          <w:szCs w:val="20"/>
        </w:rPr>
        <w:t>nteresse pubblico</w:t>
      </w:r>
      <w:r>
        <w:rPr>
          <w:rFonts w:cs="Arial" w:ascii="Arial" w:hAnsi="Arial"/>
          <w:i/>
          <w:sz w:val="20"/>
          <w:szCs w:val="20"/>
        </w:rPr>
        <w:t>:</w:t>
      </w:r>
    </w:p>
    <w:p>
      <w:pPr>
        <w:pStyle w:val="Normal"/>
        <w:tabs>
          <w:tab w:val="left" w:pos="7740" w:leader="none"/>
        </w:tabs>
        <w:spacing w:before="120" w:after="120"/>
        <w:ind w:right="-1" w:hanging="0"/>
        <w:jc w:val="both"/>
        <w:rPr/>
      </w:pPr>
      <w:r>
        <w:rPr>
          <w:rFonts w:cs="Arial" w:ascii="Arial" w:hAnsi="Arial"/>
          <w:i/>
          <w:sz w:val="20"/>
          <w:szCs w:val="20"/>
        </w:rPr>
        <w:t>a) Le cose immobili che hanno cospicui caratteri di bellezza naturale o di singolarità geologica.</w:t>
        <w:br/>
        <w:t>b) le ville, i giardini e i parchi, non tutelati che si distinguono per la loro non Comune bellezza.</w:t>
        <w:br/>
        <w:t>c) I complessi di cose immobili che compongono un caratteristico aspetto avente valore estetico tradizionale.</w:t>
        <w:br/>
        <w:t>d) le Bellezze panoramiche considerate come quadri e così pure quei punti di vista o di belvedere, accessibili al pubblico dai quali si goda lo spettacolo di quelle Bellezze.</w:t>
      </w:r>
    </w:p>
    <w:p>
      <w:pPr>
        <w:pStyle w:val="Normal"/>
        <w:tabs>
          <w:tab w:val="left" w:pos="1800" w:leader="none"/>
        </w:tabs>
        <w:spacing w:before="120" w:after="120"/>
        <w:ind w:right="-1" w:hanging="0"/>
        <w:jc w:val="both"/>
        <w:rPr>
          <w:rFonts w:ascii="Arial" w:hAnsi="Arial" w:cs="Arial"/>
          <w:i/>
          <w:i/>
          <w:iCs/>
          <w:sz w:val="20"/>
          <w:szCs w:val="20"/>
        </w:rPr>
      </w:pPr>
      <w:r>
        <w:rPr>
          <w:rFonts w:cs="Arial" w:ascii="Arial" w:hAnsi="Arial"/>
          <w:b/>
          <w:i/>
          <w:iCs/>
          <w:sz w:val="20"/>
          <w:szCs w:val="20"/>
        </w:rPr>
        <w:t>Aree tutelate per legge</w:t>
      </w:r>
      <w:r>
        <w:rPr>
          <w:rFonts w:cs="Arial" w:ascii="Arial" w:hAnsi="Arial"/>
          <w:i/>
          <w:iCs/>
          <w:sz w:val="20"/>
          <w:szCs w:val="20"/>
        </w:rPr>
        <w:t xml:space="preserve"> </w:t>
      </w:r>
      <w:r>
        <w:rPr>
          <w:rFonts w:cs="Arial" w:ascii="Arial" w:hAnsi="Arial"/>
          <w:i/>
          <w:iCs/>
          <w:sz w:val="16"/>
          <w:szCs w:val="20"/>
        </w:rPr>
        <w:t>(Normativa: Art. 142)</w:t>
      </w:r>
    </w:p>
    <w:p>
      <w:pPr>
        <w:pStyle w:val="Normal"/>
        <w:spacing w:before="120" w:after="120"/>
        <w:ind w:right="-1" w:hanging="0"/>
        <w:jc w:val="both"/>
        <w:rPr/>
      </w:pPr>
      <w:r>
        <w:rPr>
          <w:rFonts w:cs="Arial" w:ascii="Arial" w:hAnsi="Arial"/>
          <w:i/>
          <w:sz w:val="20"/>
          <w:szCs w:val="20"/>
        </w:rPr>
        <w:t xml:space="preserve">Sono sottoposti alle disposizioni alla legge in ragione del loro </w:t>
      </w:r>
      <w:r>
        <w:rPr>
          <w:rFonts w:cs="Arial" w:ascii="Arial" w:hAnsi="Arial"/>
          <w:b/>
          <w:i/>
          <w:sz w:val="20"/>
          <w:szCs w:val="20"/>
        </w:rPr>
        <w:t>interesse paesistico</w:t>
      </w:r>
      <w:r>
        <w:rPr>
          <w:rFonts w:cs="Arial" w:ascii="Arial" w:hAnsi="Arial"/>
          <w:i/>
          <w:sz w:val="20"/>
          <w:szCs w:val="20"/>
        </w:rPr>
        <w:t>:</w:t>
      </w:r>
    </w:p>
    <w:p>
      <w:pPr>
        <w:pStyle w:val="Normal"/>
        <w:spacing w:before="120" w:after="120"/>
        <w:ind w:left="426" w:right="-1" w:hanging="284"/>
        <w:jc w:val="both"/>
        <w:rPr/>
      </w:pPr>
      <w:r>
        <w:rPr>
          <w:rFonts w:cs="Arial" w:ascii="Arial" w:hAnsi="Arial"/>
          <w:i/>
          <w:sz w:val="20"/>
          <w:szCs w:val="20"/>
        </w:rPr>
        <w:t>a)</w:t>
        <w:tab/>
        <w:t>I territori costieri compresi in una fascia della profondità di 300 metri dalla linea di battigia, anche per i terreni elevati sul mare.</w:t>
      </w:r>
    </w:p>
    <w:p>
      <w:pPr>
        <w:pStyle w:val="Normal"/>
        <w:spacing w:before="120" w:after="120"/>
        <w:ind w:left="426" w:right="-1" w:hanging="284"/>
        <w:jc w:val="both"/>
        <w:rPr/>
      </w:pPr>
      <w:r>
        <w:rPr>
          <w:rFonts w:cs="Arial" w:ascii="Arial" w:hAnsi="Arial"/>
          <w:i/>
          <w:sz w:val="20"/>
          <w:szCs w:val="20"/>
        </w:rPr>
        <w:t>b)</w:t>
        <w:tab/>
        <w:t>I territori contermini ai laghi compresi in una fascia della profondità di 300 metri dalla linea di battigia, anche per i territori elevati sui laghi.</w:t>
      </w:r>
    </w:p>
    <w:p>
      <w:pPr>
        <w:pStyle w:val="Normal"/>
        <w:spacing w:before="120" w:after="120"/>
        <w:ind w:left="426" w:right="-1" w:hanging="284"/>
        <w:jc w:val="both"/>
        <w:rPr/>
      </w:pPr>
      <w:r>
        <w:rPr>
          <w:rFonts w:cs="Arial" w:ascii="Arial" w:hAnsi="Arial"/>
          <w:i/>
          <w:sz w:val="20"/>
          <w:szCs w:val="20"/>
        </w:rPr>
        <w:t>c)</w:t>
        <w:tab/>
        <w:t>I fiumi, i torrenti e i corsi d’acqua iscritti negli elenchi previsti dal testo unico delle disposizioni di legge sulle acque e impianti elettrici, e le relative sponde o piede degli argini per una fascia di 150 metri ciascuna.</w:t>
      </w:r>
    </w:p>
    <w:p>
      <w:pPr>
        <w:pStyle w:val="Normal"/>
        <w:spacing w:before="120" w:after="120"/>
        <w:ind w:left="426" w:right="-1" w:hanging="284"/>
        <w:jc w:val="both"/>
        <w:rPr/>
      </w:pPr>
      <w:r>
        <w:rPr>
          <w:rFonts w:cs="Arial" w:ascii="Arial" w:hAnsi="Arial"/>
          <w:i/>
          <w:sz w:val="20"/>
          <w:szCs w:val="20"/>
        </w:rPr>
        <w:t>d)</w:t>
        <w:tab/>
        <w:t>Le montagne per la parte eccedente 1.600 metri sul livello del mare per la catena alpina e 1.200 metri sul livello del mare per la catena appenninica e per le isole.</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e)</w:t>
        <w:tab/>
        <w:t>I ghiacciai e i circhi glaciali.</w:t>
      </w:r>
    </w:p>
    <w:p>
      <w:pPr>
        <w:pStyle w:val="Normal"/>
        <w:spacing w:before="120" w:after="120"/>
        <w:ind w:left="426" w:right="-1" w:hanging="284"/>
        <w:jc w:val="both"/>
        <w:rPr/>
      </w:pPr>
      <w:r>
        <w:rPr>
          <w:rFonts w:cs="Arial" w:ascii="Arial" w:hAnsi="Arial"/>
          <w:i/>
          <w:sz w:val="20"/>
          <w:szCs w:val="20"/>
        </w:rPr>
        <w:t>f)</w:t>
        <w:tab/>
        <w:t>I parchi e le riserve nazionali o regionali, nonché i territori di protezione esterna dei parchi.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g)</w:t>
        <w:tab/>
        <w:t>I territori coperti da foreste e da boschi, ancorché percorressi o danneggiati dal fuoco, e quelli sottoposti a vincolo di rimboschimento.</w:t>
      </w:r>
    </w:p>
    <w:p>
      <w:pPr>
        <w:pStyle w:val="Normal"/>
        <w:spacing w:before="120" w:after="120"/>
        <w:ind w:left="426" w:right="-1" w:hanging="284"/>
        <w:jc w:val="both"/>
        <w:rPr/>
      </w:pPr>
      <w:r>
        <w:rPr>
          <w:rFonts w:cs="Arial" w:ascii="Arial" w:hAnsi="Arial"/>
          <w:i/>
          <w:sz w:val="20"/>
          <w:szCs w:val="20"/>
        </w:rPr>
        <w:t>h)</w:t>
        <w:tab/>
        <w:t>Le aree assegnate alle università agrarie e le zone gravate da usi civici.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i)</w:t>
        <w:tab/>
        <w:t>Le zone umide incluse nell’elenco previsto dal D.P.R. 13 marzo 1976, n. 448.</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l)</w:t>
        <w:tab/>
        <w:t>I vulcani.</w:t>
      </w:r>
    </w:p>
    <w:p>
      <w:pPr>
        <w:pStyle w:val="Normal"/>
        <w:spacing w:before="120" w:after="120"/>
        <w:ind w:left="426" w:right="-1" w:hanging="284"/>
        <w:jc w:val="both"/>
        <w:rPr>
          <w:rFonts w:ascii="Arial" w:hAnsi="Arial" w:cs="Arial"/>
          <w:i/>
          <w:i/>
          <w:sz w:val="20"/>
          <w:szCs w:val="20"/>
        </w:rPr>
      </w:pPr>
      <w:r>
        <w:rPr>
          <w:rFonts w:cs="Arial" w:ascii="Arial" w:hAnsi="Arial"/>
          <w:i/>
          <w:sz w:val="20"/>
          <w:szCs w:val="20"/>
        </w:rPr>
        <w:t>m)</w:t>
        <w:tab/>
        <w:t>Le zone di interesse archeologico.</w:t>
      </w:r>
    </w:p>
    <w:p>
      <w:pPr>
        <w:pStyle w:val="Normal"/>
        <w:spacing w:before="120" w:after="120"/>
        <w:ind w:right="-1" w:hanging="0"/>
        <w:jc w:val="both"/>
        <w:rPr>
          <w:rFonts w:ascii="Arial" w:hAnsi="Arial" w:cs="Arial"/>
          <w:b/>
          <w:b/>
          <w:i/>
          <w:i/>
          <w:iCs/>
          <w:sz w:val="20"/>
          <w:szCs w:val="20"/>
        </w:rPr>
      </w:pPr>
      <w:r>
        <w:rPr>
          <w:rFonts w:cs="Arial" w:ascii="Arial" w:hAnsi="Arial"/>
          <w:b/>
          <w:i/>
          <w:iCs/>
          <w:sz w:val="20"/>
          <w:szCs w:val="20"/>
        </w:rPr>
        <w:t xml:space="preserve">Interventi edili sugli immobili ed aree protette. Alterazione dello stato dei luoghi - </w:t>
      </w:r>
      <w:r>
        <w:rPr>
          <w:rFonts w:cs="Arial" w:ascii="Arial" w:hAnsi="Arial"/>
          <w:b/>
          <w:i/>
          <w:iCs/>
          <w:sz w:val="20"/>
          <w:szCs w:val="20"/>
          <w:u w:val="single"/>
        </w:rPr>
        <w:t>Richiesta dell’autorizzazione ordinaria</w:t>
      </w:r>
      <w:r>
        <w:rPr>
          <w:rFonts w:cs="Arial" w:ascii="Arial" w:hAnsi="Arial"/>
          <w:b/>
          <w:i/>
          <w:iCs/>
          <w:sz w:val="20"/>
          <w:szCs w:val="20"/>
        </w:rPr>
        <w:t xml:space="preserve"> - </w:t>
      </w:r>
      <w:r>
        <w:rPr>
          <w:rFonts w:cs="Arial" w:ascii="Arial" w:hAnsi="Arial"/>
          <w:i/>
          <w:iCs/>
          <w:sz w:val="16"/>
          <w:szCs w:val="20"/>
        </w:rPr>
        <w:t xml:space="preserve">(Normativa: </w:t>
      </w:r>
      <w:r>
        <w:rPr>
          <w:rFonts w:cs="Arial" w:ascii="Arial" w:hAnsi="Arial"/>
          <w:i/>
          <w:iCs/>
          <w:sz w:val="16"/>
          <w:szCs w:val="20"/>
          <w:u w:val="single"/>
        </w:rPr>
        <w:t>Art. 146</w:t>
      </w:r>
      <w:r>
        <w:rPr>
          <w:rFonts w:cs="Arial" w:ascii="Arial" w:hAnsi="Arial"/>
          <w:i/>
          <w:iCs/>
          <w:sz w:val="16"/>
          <w:szCs w:val="20"/>
        </w:rPr>
        <w:t>)</w:t>
      </w:r>
    </w:p>
    <w:p>
      <w:pPr>
        <w:pStyle w:val="Normal"/>
        <w:spacing w:before="120" w:after="120"/>
        <w:ind w:right="-1" w:hanging="0"/>
        <w:jc w:val="both"/>
        <w:rPr>
          <w:rFonts w:ascii="Arial" w:hAnsi="Arial" w:cs="Arial"/>
          <w:sz w:val="20"/>
          <w:szCs w:val="20"/>
        </w:rPr>
      </w:pPr>
      <w:r>
        <w:rPr>
          <w:rFonts w:cs="Arial" w:ascii="Arial" w:hAnsi="Arial"/>
          <w:sz w:val="20"/>
          <w:szCs w:val="20"/>
        </w:rPr>
        <w:t xml:space="preserve">I proprietari, possessori o detentori a qualsiasi titolo di beni ambientali non possono distruggerli né introdurvi modificazioni, che rechino pregiudizio al loro aspetto esteriore che è oggetto di protezione.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Hanno l’obbligo di sottoporre alla regione </w:t>
      </w:r>
      <w:r>
        <w:rPr>
          <w:rFonts w:cs="Arial" w:ascii="Arial" w:hAnsi="Arial"/>
          <w:i/>
          <w:sz w:val="20"/>
          <w:szCs w:val="20"/>
        </w:rPr>
        <w:t>(Comune delegato)</w:t>
      </w:r>
      <w:r>
        <w:rPr>
          <w:rFonts w:cs="Arial" w:ascii="Arial" w:hAnsi="Arial"/>
          <w:sz w:val="20"/>
          <w:szCs w:val="20"/>
        </w:rPr>
        <w:t xml:space="preserve"> i progetti delle opere di qualunque genere che intendono eseguire, al fine di ottenerne la preventiva autorizzazione.</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Quest’ultima è rilasciata o negata, </w:t>
      </w:r>
      <w:r>
        <w:rPr>
          <w:rFonts w:cs="Arial" w:ascii="Arial" w:hAnsi="Arial"/>
          <w:i/>
          <w:iCs/>
          <w:sz w:val="20"/>
          <w:szCs w:val="20"/>
          <w:u w:val="single"/>
        </w:rPr>
        <w:t xml:space="preserve">senza il formarsi del silenzio assenso, </w:t>
      </w:r>
      <w:r>
        <w:rPr>
          <w:rFonts w:cs="Arial" w:ascii="Arial" w:hAnsi="Arial"/>
          <w:sz w:val="20"/>
          <w:szCs w:val="20"/>
        </w:rPr>
        <w:t>con la procedura complicata che segue.</w:t>
      </w:r>
    </w:p>
    <w:p>
      <w:pPr>
        <w:pStyle w:val="Nessunaspaziatura"/>
        <w:pBdr>
          <w:top w:val="single" w:sz="4" w:space="1" w:color="000000"/>
          <w:left w:val="single" w:sz="4" w:space="4" w:color="000000"/>
          <w:bottom w:val="single" w:sz="4" w:space="1" w:color="000000"/>
          <w:right w:val="single" w:sz="4" w:space="4" w:color="000000"/>
        </w:pBdr>
        <w:spacing w:before="120" w:after="120"/>
        <w:ind w:right="-1" w:hanging="0"/>
        <w:jc w:val="both"/>
        <w:rPr>
          <w:rFonts w:ascii="Arial" w:hAnsi="Arial" w:cs="Arial"/>
          <w:b/>
          <w:b/>
          <w:bCs/>
          <w:i/>
          <w:i/>
          <w:iCs/>
        </w:rPr>
      </w:pPr>
      <w:r>
        <w:rPr>
          <w:rFonts w:cs="Arial" w:ascii="Arial" w:hAnsi="Arial"/>
          <w:b/>
          <w:i/>
          <w:iCs/>
        </w:rPr>
        <w:t>Autorizzazione paesaggistica ordinaria</w:t>
      </w:r>
      <w:r>
        <w:rPr>
          <w:rStyle w:val="FootnoteCharacters"/>
          <w:rStyle w:val="FootnoteAnchor"/>
          <w:rFonts w:cs="Arial" w:ascii="Arial" w:hAnsi="Arial"/>
          <w:b/>
          <w:i/>
          <w:iCs/>
        </w:rPr>
        <w:footnoteReference w:id="3"/>
      </w:r>
    </w:p>
    <w:p>
      <w:pPr>
        <w:pStyle w:val="Nessunaspaziatura"/>
        <w:spacing w:before="120" w:after="120"/>
        <w:ind w:right="-1" w:hanging="0"/>
        <w:jc w:val="both"/>
        <w:rPr>
          <w:rFonts w:ascii="Arial" w:hAnsi="Arial" w:cs="Arial"/>
          <w:bCs/>
          <w:i/>
          <w:i/>
          <w:sz w:val="18"/>
          <w:u w:val="single"/>
        </w:rPr>
      </w:pPr>
      <w:r>
        <w:rPr>
          <w:rFonts w:cs="Arial" w:ascii="Arial" w:hAnsi="Arial"/>
          <w:bCs/>
          <w:i/>
          <w:sz w:val="18"/>
          <w:u w:val="single"/>
        </w:rPr>
        <w:t>(Normativa da verificare con quella concorrente regionale)</w:t>
      </w:r>
    </w:p>
    <w:p>
      <w:pPr>
        <w:pStyle w:val="Nessunaspaziatura"/>
        <w:shd w:fill="F2F2F2" w:val="clear"/>
        <w:spacing w:before="120" w:after="120"/>
        <w:ind w:right="-1" w:hanging="0"/>
        <w:jc w:val="both"/>
        <w:rPr>
          <w:rFonts w:ascii="Arial" w:hAnsi="Arial" w:cs="Arial"/>
          <w:b/>
          <w:b/>
          <w:bCs/>
          <w:i/>
          <w:i/>
          <w:u w:val="single"/>
        </w:rPr>
      </w:pPr>
      <w:r>
        <w:rPr>
          <w:rFonts w:cs="Arial" w:ascii="Arial" w:hAnsi="Arial"/>
          <w:b/>
          <w:bCs/>
          <w:i/>
          <w:u w:val="single"/>
        </w:rPr>
        <w:t>Divieto di modifica dei beni senza autorizzazione</w:t>
      </w:r>
    </w:p>
    <w:p>
      <w:pPr>
        <w:pStyle w:val="Nessunaspaziatura"/>
        <w:shd w:fill="F2F2F2" w:val="clear"/>
        <w:spacing w:before="120" w:after="120"/>
        <w:ind w:right="-1" w:hanging="0"/>
        <w:jc w:val="both"/>
        <w:rPr/>
      </w:pPr>
      <w:r>
        <w:rPr>
          <w:rFonts w:cs="Arial" w:ascii="Arial" w:hAnsi="Arial"/>
          <w:i/>
        </w:rPr>
        <w:t>1. I proprietari, possessori o detentori a qualsiasi titolo di immobili ed aree di interesse paesaggistico, tutelati dalla legge, a termini dell’articolo 142</w:t>
      </w:r>
      <w:r>
        <w:rPr>
          <w:rStyle w:val="FootnoteCharacters"/>
          <w:rStyle w:val="FootnoteAnchor"/>
          <w:rFonts w:cs="Arial" w:ascii="Arial" w:hAnsi="Arial"/>
          <w:i/>
        </w:rPr>
        <w:footnoteReference w:id="4"/>
      </w:r>
      <w:r>
        <w:rPr>
          <w:rFonts w:cs="Arial" w:ascii="Arial" w:hAnsi="Arial"/>
          <w:i/>
        </w:rPr>
        <w:t>, o in base alla legge, a termini degli articoli 136</w:t>
      </w:r>
      <w:r>
        <w:rPr>
          <w:rStyle w:val="FootnoteCharacters"/>
          <w:rStyle w:val="FootnoteAnchor"/>
          <w:rFonts w:cs="Arial" w:ascii="Arial" w:hAnsi="Arial"/>
          <w:i/>
        </w:rPr>
        <w:footnoteReference w:id="5"/>
      </w:r>
      <w:r>
        <w:rPr>
          <w:rFonts w:cs="Arial" w:ascii="Arial" w:hAnsi="Arial"/>
          <w:i/>
        </w:rPr>
        <w:t>, 143 c.1/d</w:t>
      </w:r>
      <w:r>
        <w:rPr>
          <w:rStyle w:val="FootnoteCharacters"/>
          <w:rStyle w:val="FootnoteAnchor"/>
          <w:rFonts w:cs="Arial" w:ascii="Arial" w:hAnsi="Arial"/>
          <w:i/>
        </w:rPr>
        <w:footnoteReference w:id="6"/>
      </w:r>
      <w:r>
        <w:rPr>
          <w:rFonts w:cs="Arial" w:ascii="Arial" w:hAnsi="Arial"/>
          <w:i/>
        </w:rPr>
        <w:t xml:space="preserve"> e 157</w:t>
      </w:r>
      <w:r>
        <w:rPr>
          <w:rStyle w:val="FootnoteCharacters"/>
          <w:rStyle w:val="FootnoteAnchor"/>
          <w:rFonts w:cs="Arial" w:ascii="Arial" w:hAnsi="Arial"/>
          <w:i/>
        </w:rPr>
        <w:footnoteReference w:id="7"/>
      </w:r>
      <w:r>
        <w:rPr>
          <w:rFonts w:cs="Arial" w:ascii="Arial" w:hAnsi="Arial"/>
          <w:i/>
        </w:rPr>
        <w:t xml:space="preserve">, non possono distruggerli, né introdurvi modificazioni che rechino pregiudizio ai valori paesaggistici oggetto di protezione. </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ormal"/>
        <w:spacing w:before="120" w:after="120"/>
        <w:ind w:right="-1" w:hanging="0"/>
        <w:jc w:val="both"/>
        <w:rPr>
          <w:rFonts w:ascii="Verdana" w:hAnsi="Verdana" w:cs="Verdana"/>
          <w:i/>
          <w:i/>
          <w:sz w:val="12"/>
          <w:szCs w:val="18"/>
        </w:rPr>
      </w:pPr>
      <w:r>
        <w:rPr>
          <w:rFonts w:cs="Arial" w:ascii="Arial" w:hAnsi="Arial"/>
          <w:i/>
          <w:sz w:val="20"/>
        </w:rPr>
        <w:t xml:space="preserve">2. I soggetti di cui al comma 1 hanno l’obbligo di presentare alle amministrazioni competenti (Comune) il progetto degli interventi che intendano intraprendere, corredato della prescritta documentazione, ed astenersi dall’avviare i lavori fino a quando non ne abbiano ottenuta l’autorizzazione. </w:t>
      </w:r>
      <w:r>
        <w:rPr>
          <w:rFonts w:cs="Arial" w:ascii="Arial" w:hAnsi="Arial"/>
          <w:i/>
          <w:sz w:val="18"/>
          <w:szCs w:val="18"/>
        </w:rPr>
        <w:t xml:space="preserve">(Esiste anche </w:t>
      </w:r>
      <w:r>
        <w:rPr>
          <w:rFonts w:cs="Arial" w:ascii="Arial" w:hAnsi="Arial"/>
          <w:i/>
          <w:sz w:val="18"/>
          <w:szCs w:val="18"/>
          <w:u w:val="single"/>
        </w:rPr>
        <w:t xml:space="preserve">l’autorizzazione paesaggistica semplificata. </w:t>
      </w:r>
      <w:r>
        <w:rPr>
          <w:rFonts w:cs="Arial" w:ascii="Arial" w:hAnsi="Arial"/>
          <w:i/>
          <w:sz w:val="18"/>
          <w:szCs w:val="18"/>
        </w:rPr>
        <w:t>DPR n. 31/2017)</w:t>
      </w:r>
    </w:p>
    <w:p>
      <w:pPr>
        <w:pStyle w:val="Nessunaspaziatura"/>
        <w:shd w:fill="F2F2F2" w:val="clear"/>
        <w:spacing w:before="120" w:after="120"/>
        <w:ind w:right="-1" w:hanging="0"/>
        <w:jc w:val="both"/>
        <w:rPr>
          <w:rFonts w:ascii="Arial" w:hAnsi="Arial" w:cs="Arial"/>
          <w:b/>
          <w:b/>
          <w:i/>
          <w:i/>
          <w:u w:val="single"/>
        </w:rPr>
      </w:pPr>
      <w:r>
        <w:rPr>
          <w:rFonts w:cs="Arial" w:ascii="Arial" w:hAnsi="Arial"/>
          <w:b/>
          <w:i/>
          <w:u w:val="single"/>
        </w:rPr>
        <w:t>Verifica fra il paesaggio e l’intervento edile</w:t>
      </w:r>
    </w:p>
    <w:p>
      <w:pPr>
        <w:pStyle w:val="Normal"/>
        <w:spacing w:before="120" w:after="120"/>
        <w:ind w:right="-1" w:hanging="0"/>
        <w:jc w:val="both"/>
        <w:rPr>
          <w:rFonts w:ascii="Verdana" w:hAnsi="Verdana" w:cs="Verdana"/>
          <w:i/>
          <w:i/>
          <w:sz w:val="12"/>
          <w:szCs w:val="16"/>
        </w:rPr>
      </w:pPr>
      <w:r>
        <w:rPr>
          <w:rFonts w:cs="Arial" w:ascii="Arial" w:hAnsi="Arial"/>
          <w:i/>
          <w:sz w:val="20"/>
        </w:rPr>
        <w:t xml:space="preserve">3. La documentazione a corredo del progetto è preordinata alla verifica della compatibilità fra interesse paesaggistico tutelato ed intervento progettato…. </w:t>
      </w:r>
      <w:r>
        <w:rPr>
          <w:rFonts w:cs="Arial" w:ascii="Arial" w:hAnsi="Arial"/>
          <w:i/>
        </w:rPr>
        <w:t>(</w:t>
      </w:r>
      <w:r>
        <w:rPr>
          <w:rFonts w:cs="Arial" w:ascii="Arial" w:hAnsi="Arial"/>
          <w:i/>
          <w:sz w:val="18"/>
          <w:szCs w:val="18"/>
        </w:rPr>
        <w:t>Si veda il DPCM del 12 dicembre 2005)</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è atto indispensabile per il titolo abilitativo</w:t>
      </w:r>
    </w:p>
    <w:p>
      <w:pPr>
        <w:pStyle w:val="Nessunaspaziatura"/>
        <w:spacing w:before="120" w:after="120"/>
        <w:ind w:right="-1" w:hanging="0"/>
        <w:jc w:val="both"/>
        <w:rPr>
          <w:rFonts w:ascii="Arial" w:hAnsi="Arial" w:cs="Arial"/>
          <w:i/>
          <w:i/>
        </w:rPr>
      </w:pPr>
      <w:r>
        <w:rPr>
          <w:rFonts w:cs="Arial" w:ascii="Arial" w:hAnsi="Arial"/>
          <w:i/>
        </w:rPr>
        <w:t xml:space="preserve">4. L’autorizzazione paesaggistica costituisce atto autonomo e presupposto rispetto al permesso di costruire o agli altri titoli legittimanti l’intervento urbanistico - edilizio. </w:t>
      </w:r>
    </w:p>
    <w:p>
      <w:pPr>
        <w:pStyle w:val="Normal"/>
        <w:spacing w:before="120" w:after="120"/>
        <w:ind w:right="-1" w:hanging="0"/>
        <w:jc w:val="both"/>
        <w:rPr>
          <w:rFonts w:ascii="Arial" w:hAnsi="Arial" w:cs="Arial"/>
          <w:i/>
          <w:i/>
          <w:sz w:val="18"/>
          <w:szCs w:val="18"/>
        </w:rPr>
      </w:pPr>
      <w:r>
        <w:rPr>
          <w:rFonts w:cs="Arial" w:ascii="Arial" w:hAnsi="Arial"/>
          <w:i/>
          <w:sz w:val="20"/>
          <w:szCs w:val="20"/>
        </w:rPr>
        <w:t xml:space="preserve">Fuori dai casi di cui all’art. </w:t>
      </w:r>
      <w:r>
        <w:rPr>
          <w:rFonts w:cs="Arial" w:ascii="Arial" w:hAnsi="Arial"/>
          <w:i/>
          <w:sz w:val="20"/>
          <w:szCs w:val="20"/>
          <w:u w:val="single"/>
        </w:rPr>
        <w:t>167</w:t>
      </w:r>
      <w:r>
        <w:rPr>
          <w:rStyle w:val="FootnoteCharacters"/>
          <w:rStyle w:val="FootnoteAnchor"/>
          <w:rFonts w:cs="Arial" w:ascii="Arial" w:hAnsi="Arial"/>
          <w:i/>
          <w:sz w:val="20"/>
          <w:szCs w:val="20"/>
          <w:u w:val="single"/>
        </w:rPr>
        <w:footnoteReference w:id="8"/>
      </w:r>
      <w:r>
        <w:rPr>
          <w:rFonts w:cs="Arial" w:ascii="Arial" w:hAnsi="Arial"/>
          <w:i/>
          <w:sz w:val="20"/>
          <w:szCs w:val="20"/>
          <w:u w:val="single"/>
        </w:rPr>
        <w:t xml:space="preserve"> c. 4 e 5,</w:t>
      </w:r>
      <w:r>
        <w:rPr>
          <w:rFonts w:cs="Arial" w:ascii="Arial" w:hAnsi="Arial"/>
          <w:i/>
          <w:sz w:val="20"/>
          <w:szCs w:val="20"/>
        </w:rPr>
        <w:t xml:space="preserve"> (sanatoria) l’autorizzazione non può essere rilasciata in sanatoria successivamente alla realizzazione, anche parziale, degli interventi. </w:t>
      </w:r>
      <w:r>
        <w:rPr>
          <w:rFonts w:cs="Arial" w:ascii="Arial" w:hAnsi="Arial"/>
          <w:i/>
          <w:sz w:val="18"/>
          <w:szCs w:val="18"/>
        </w:rPr>
        <w:t>(L’autorizzazione deve precedere la richiesta del titolo abilitativo)</w:t>
      </w:r>
    </w:p>
    <w:p>
      <w:pPr>
        <w:pStyle w:val="Nessunaspaziatura"/>
        <w:spacing w:before="120" w:after="120"/>
        <w:ind w:right="-1" w:hanging="0"/>
        <w:jc w:val="both"/>
        <w:rPr/>
      </w:pPr>
      <w:r>
        <w:rPr>
          <w:rFonts w:cs="Arial" w:ascii="Arial" w:hAnsi="Arial"/>
          <w:b/>
          <w:i/>
          <w:u w:val="single"/>
        </w:rPr>
        <w:t>Validità dell’autorizzazione</w:t>
      </w:r>
    </w:p>
    <w:p>
      <w:pPr>
        <w:pStyle w:val="Nessunaspaziatura"/>
        <w:spacing w:before="120" w:after="120"/>
        <w:ind w:right="-1" w:hanging="0"/>
        <w:jc w:val="both"/>
        <w:rPr>
          <w:rFonts w:ascii="Arial" w:hAnsi="Arial" w:cs="Arial"/>
          <w:i/>
          <w:i/>
        </w:rPr>
      </w:pPr>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spacing w:before="120" w:after="120"/>
        <w:ind w:right="-1" w:hanging="0"/>
        <w:jc w:val="both"/>
        <w:rPr>
          <w:rFonts w:ascii="Arial" w:hAnsi="Arial" w:cs="Arial"/>
          <w:b/>
          <w:b/>
          <w:i/>
          <w:i/>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entro, e non oltre, </w:t>
      </w:r>
      <w:r>
        <w:rPr>
          <w:rFonts w:cs="Arial" w:ascii="Arial" w:hAnsi="Arial"/>
          <w:b/>
          <w:i/>
          <w:u w:val="single"/>
        </w:rPr>
        <w:t>l’anno successivo la scadenza del quinquennio medesimo.</w:t>
      </w:r>
      <w:r>
        <w:rPr>
          <w:rFonts w:cs="Arial" w:ascii="Arial" w:hAnsi="Arial"/>
          <w:b/>
          <w:i/>
        </w:rPr>
        <w:t xml:space="preserve"> </w:t>
      </w:r>
    </w:p>
    <w:p>
      <w:pPr>
        <w:pStyle w:val="Nessunaspaziatura"/>
        <w:spacing w:before="120" w:after="120"/>
        <w:ind w:right="-1" w:hanging="0"/>
        <w:jc w:val="both"/>
        <w:rPr/>
      </w:pPr>
      <w:r>
        <w:rPr>
          <w:rFonts w:cs="Arial" w:ascii="Arial" w:hAnsi="Arial"/>
          <w:i/>
        </w:rPr>
        <w:t xml:space="preserve">Il termine di efficacia dell’autorizzazione </w:t>
      </w:r>
      <w:r>
        <w:rPr>
          <w:rFonts w:cs="Arial" w:ascii="Arial" w:hAnsi="Arial"/>
          <w:b/>
          <w:i/>
        </w:rPr>
        <w:t>decorre dal giorno in cui acquista efficacia il titolo edilizio</w:t>
      </w:r>
      <w:r>
        <w:rPr>
          <w:rFonts w:cs="Arial" w:ascii="Arial" w:hAnsi="Arial"/>
          <w:i/>
        </w:rPr>
        <w:t xml:space="preserve"> eventualmente necessario per la realizzazione dell’intervento, a meno che il ritardo in ordine al rilascio e alla conseguente efficacia di quest’ultimo non sia dipeso da circostanze imputabili all’interessato. </w:t>
      </w:r>
    </w:p>
    <w:p>
      <w:pPr>
        <w:pStyle w:val="Nessunaspaziatura"/>
        <w:spacing w:before="120" w:after="120"/>
        <w:ind w:right="-1" w:hanging="0"/>
        <w:jc w:val="both"/>
        <w:rPr>
          <w:rFonts w:ascii="Arial" w:hAnsi="Arial" w:cs="Arial"/>
          <w:b/>
          <w:b/>
          <w:i/>
          <w:i/>
          <w:u w:val="single"/>
        </w:rPr>
      </w:pPr>
      <w:r>
        <w:rPr>
          <w:rFonts w:cs="Arial" w:ascii="Arial" w:hAnsi="Arial"/>
          <w:b/>
          <w:i/>
          <w:u w:val="single"/>
        </w:rPr>
        <w:t>Autorizzazione della regione (Comune) previo parere del Sovrintendente</w:t>
      </w:r>
    </w:p>
    <w:p>
      <w:pPr>
        <w:pStyle w:val="Nessunaspaziatura"/>
        <w:spacing w:before="120" w:after="120"/>
        <w:ind w:right="-1" w:hanging="0"/>
        <w:jc w:val="both"/>
        <w:rPr>
          <w:rFonts w:ascii="Arial" w:hAnsi="Arial" w:cs="Arial"/>
          <w:i/>
          <w:i/>
        </w:rPr>
      </w:pPr>
      <w:r>
        <w:rPr>
          <w:rFonts w:cs="Arial" w:ascii="Arial" w:hAnsi="Arial"/>
          <w:i/>
        </w:rPr>
        <w:t xml:space="preserve">5. Sull’istanza di autorizzazione paesaggistica si pronuncia la regione (Comune), dopo avere acquisito il parere </w:t>
      </w:r>
      <w:r>
        <w:rPr>
          <w:rFonts w:cs="Arial" w:ascii="Arial" w:hAnsi="Arial"/>
          <w:i/>
          <w:u w:val="single"/>
        </w:rPr>
        <w:t>vincolante</w:t>
      </w:r>
      <w:r>
        <w:rPr>
          <w:rFonts w:cs="Arial" w:ascii="Arial" w:hAnsi="Arial"/>
          <w:i/>
        </w:rPr>
        <w:t xml:space="preserve"> del Sovrintendente in relazione agli interventi da eseguirsi su immobili ed aree sottoposti a tutela dalla legge o in base alla legge, ai sensi del comma 1, salvo quanto disposto all’articolo </w:t>
      </w:r>
      <w:r>
        <w:rPr>
          <w:rFonts w:cs="Arial" w:ascii="Arial" w:hAnsi="Arial"/>
          <w:i/>
          <w:u w:val="single"/>
        </w:rPr>
        <w:t>143, commi 4 e 5</w:t>
      </w:r>
      <w:r>
        <w:rPr>
          <w:rFonts w:cs="Arial" w:ascii="Arial" w:hAnsi="Arial"/>
          <w:i/>
        </w:rPr>
        <w:t xml:space="preserve">. </w:t>
      </w:r>
    </w:p>
    <w:p>
      <w:pPr>
        <w:pStyle w:val="Nessunaspaziatura"/>
        <w:spacing w:before="120" w:after="120"/>
        <w:ind w:right="-1" w:hanging="0"/>
        <w:jc w:val="both"/>
        <w:rPr>
          <w:rFonts w:ascii="Arial" w:hAnsi="Arial" w:cs="Arial"/>
          <w:i/>
          <w:i/>
        </w:rPr>
      </w:pPr>
      <w:r>
        <w:rPr>
          <w:rFonts w:cs="Arial" w:ascii="Arial" w:hAnsi="Arial"/>
          <w:b/>
          <w:i/>
          <w:u w:val="single"/>
        </w:rPr>
        <w:t>Parere del Sovrintendente obbligatorio e non vincolante sui beni paesaggistici</w:t>
      </w:r>
    </w:p>
    <w:p>
      <w:pPr>
        <w:pStyle w:val="Nessunaspaziatura"/>
        <w:spacing w:before="120" w:after="120"/>
        <w:ind w:right="-1" w:hanging="0"/>
        <w:jc w:val="both"/>
        <w:rPr>
          <w:rFonts w:ascii="Arial" w:hAnsi="Arial" w:cs="Arial"/>
          <w:i/>
          <w:i/>
          <w:u w:val="single"/>
        </w:rPr>
      </w:pPr>
      <w:r>
        <w:rPr>
          <w:rFonts w:cs="Arial" w:ascii="Arial" w:hAnsi="Arial"/>
          <w:i/>
        </w:rPr>
        <w:t xml:space="preserve">Il parere del Sovrintendente, all’esito dell’approvazione delle prescrizioni d’uso dei beni paesaggistici tutelati, predisposte ai sensi degli </w:t>
      </w:r>
      <w:r>
        <w:rPr>
          <w:rFonts w:cs="Arial" w:ascii="Arial" w:hAnsi="Arial"/>
          <w:i/>
          <w:u w:val="single"/>
        </w:rPr>
        <w:t>articoli 140, comma 2, 141, comma 1, 141-bis</w:t>
      </w:r>
      <w:r>
        <w:rPr>
          <w:rFonts w:cs="Arial" w:ascii="Arial" w:hAnsi="Arial"/>
          <w:i/>
        </w:rPr>
        <w:t xml:space="preserve"> e </w:t>
      </w:r>
      <w:r>
        <w:rPr>
          <w:rFonts w:cs="Arial" w:ascii="Arial" w:hAnsi="Arial"/>
          <w:i/>
          <w:u w:val="single"/>
        </w:rPr>
        <w:t>143, comma 1, lettere b), c) e d)</w:t>
      </w:r>
      <w:r>
        <w:rPr>
          <w:rFonts w:cs="Arial" w:ascii="Arial" w:hAnsi="Arial"/>
          <w:i/>
        </w:rPr>
        <w:t xml:space="preserve">, nonché della positiva verifica da parte del Ministero su richiesta della regione interessata dell’avvenuto adeguamento degli strumenti urbanistici, assume natura </w:t>
      </w:r>
      <w:r>
        <w:rPr>
          <w:rFonts w:cs="Arial" w:ascii="Arial" w:hAnsi="Arial"/>
          <w:i/>
          <w:u w:val="single"/>
        </w:rPr>
        <w:t>obbligatoria</w:t>
      </w:r>
      <w:r>
        <w:rPr>
          <w:rFonts w:cs="Arial" w:ascii="Arial" w:hAnsi="Arial"/>
          <w:i/>
        </w:rPr>
        <w:t xml:space="preserve"> non </w:t>
      </w:r>
      <w:r>
        <w:rPr>
          <w:rFonts w:cs="Arial" w:ascii="Arial" w:hAnsi="Arial"/>
          <w:i/>
          <w:u w:val="single"/>
        </w:rPr>
        <w:t>vincolante</w:t>
      </w:r>
      <w:r>
        <w:rPr>
          <w:rFonts w:cs="Arial" w:ascii="Arial" w:hAnsi="Arial"/>
          <w:i/>
        </w:rPr>
        <w:t xml:space="preserve"> ed è reso nel rispetto delle previsioni e delle prescrizioni del piano paesaggistico, entro il termine di quarantacinque giorni dalla ricezione degli atti, decorsi i quali l’amministrazione competente provvede sulla domanda di autorizzazione.</w:t>
      </w:r>
    </w:p>
    <w:p>
      <w:pPr>
        <w:pStyle w:val="Nessunaspaziatura"/>
        <w:spacing w:before="120" w:after="120"/>
        <w:ind w:right="-1" w:hanging="0"/>
        <w:jc w:val="both"/>
        <w:rPr>
          <w:rFonts w:ascii="Arial" w:hAnsi="Arial" w:cs="Arial"/>
          <w:b/>
          <w:b/>
          <w:i/>
          <w:i/>
          <w:u w:val="single"/>
        </w:rPr>
      </w:pPr>
      <w:r>
        <w:rPr>
          <w:rFonts w:cs="Arial" w:ascii="Arial" w:hAnsi="Arial"/>
          <w:b/>
          <w:i/>
          <w:u w:val="single"/>
        </w:rPr>
        <w:t>La regione può delegare il rilascio dell’autorizzazione paesaggistica</w:t>
      </w:r>
    </w:p>
    <w:p>
      <w:pPr>
        <w:pStyle w:val="Nessunaspaziatura"/>
        <w:spacing w:before="120" w:after="120"/>
        <w:ind w:right="-1" w:hanging="0"/>
        <w:jc w:val="both"/>
        <w:rPr>
          <w:rFonts w:ascii="Arial" w:hAnsi="Arial" w:cs="Arial"/>
          <w:i/>
          <w:i/>
        </w:rPr>
      </w:pPr>
      <w:r>
        <w:rPr>
          <w:rFonts w:cs="Arial" w:ascii="Arial" w:hAnsi="Arial"/>
          <w:i/>
        </w:rPr>
        <w:t xml:space="preserve">6. La regione esercita la funzione autorizzatoria in materia di paesaggio avvalendosi di propri uffici dotati di adeguate competenze tecnico-scientifiche e idonee risorse strumentali. </w:t>
      </w:r>
    </w:p>
    <w:p>
      <w:pPr>
        <w:pStyle w:val="Normal"/>
        <w:spacing w:before="120" w:after="120"/>
        <w:ind w:right="-1" w:hanging="0"/>
        <w:jc w:val="both"/>
        <w:rPr>
          <w:rFonts w:ascii="Verdana" w:hAnsi="Verdana" w:cs="Verdana"/>
          <w:sz w:val="12"/>
          <w:szCs w:val="16"/>
        </w:rPr>
      </w:pPr>
      <w:r>
        <w:rPr>
          <w:rFonts w:cs="Arial" w:ascii="Arial" w:hAnsi="Arial"/>
          <w:i/>
          <w:sz w:val="20"/>
        </w:rPr>
        <w:t>Può tuttavia delegarne l’esercizio, per i rispettivi territori, a province, a forme associative e di cooperazione fra enti locali come definite dalle vigenti disposizioni sull’ordinamento degli enti locali, agli enti parco, ovvero a comuni, purché gli enti destinatari della delega dispongano di strutture in grado di assicurare un adeguato livello di competenze tecnico-scientifiche nonché di garantire la differenziazione tra attività di tutela paesaggistica ed esercizio di funzioni amministrative in materia urbanistico – edilizia</w:t>
      </w:r>
      <w:r>
        <w:rPr>
          <w:rFonts w:cs="Arial" w:ascii="Arial" w:hAnsi="Arial"/>
          <w:i/>
        </w:rPr>
        <w:t>.</w:t>
      </w:r>
      <w:r>
        <w:rPr>
          <w:rFonts w:cs="Verdana" w:ascii="Verdana" w:hAnsi="Verdana"/>
          <w:i/>
          <w:sz w:val="12"/>
          <w:szCs w:val="16"/>
        </w:rPr>
        <w:t xml:space="preserve"> </w:t>
      </w:r>
      <w:r>
        <w:rPr>
          <w:rFonts w:cs="Arial" w:ascii="Arial" w:hAnsi="Arial"/>
          <w:i/>
          <w:sz w:val="18"/>
          <w:szCs w:val="18"/>
        </w:rPr>
        <w:t xml:space="preserve">(Normalmente viene delegato lo </w:t>
      </w:r>
      <w:r>
        <w:rPr>
          <w:rFonts w:cs="Arial" w:ascii="Arial" w:hAnsi="Arial"/>
          <w:b/>
          <w:i/>
          <w:sz w:val="18"/>
          <w:szCs w:val="18"/>
        </w:rPr>
        <w:t>Sportello unico per l’edilizia)</w:t>
      </w:r>
    </w:p>
    <w:p>
      <w:pPr>
        <w:pStyle w:val="Nessunaspaziatura"/>
        <w:spacing w:before="120" w:after="120"/>
        <w:ind w:right="-1" w:hanging="0"/>
        <w:jc w:val="both"/>
        <w:rPr>
          <w:rFonts w:ascii="Arial" w:hAnsi="Arial" w:cs="Arial"/>
          <w:b/>
          <w:b/>
          <w:i/>
          <w:i/>
          <w:u w:val="single"/>
        </w:rPr>
      </w:pPr>
      <w:r>
        <w:rPr>
          <w:rFonts w:cs="Arial" w:ascii="Arial" w:hAnsi="Arial"/>
          <w:b/>
          <w:i/>
          <w:u w:val="single"/>
        </w:rPr>
        <w:t>Divieto di avviare i lavori senza il titolo abilitante e l’autorizzazione</w:t>
      </w:r>
    </w:p>
    <w:p>
      <w:pPr>
        <w:pStyle w:val="Nessunaspaziatura"/>
        <w:spacing w:before="120" w:after="120"/>
        <w:ind w:right="-1" w:hanging="0"/>
        <w:jc w:val="both"/>
        <w:rPr>
          <w:rFonts w:ascii="Arial" w:hAnsi="Arial" w:cs="Arial"/>
          <w:i/>
          <w:i/>
        </w:rPr>
      </w:pPr>
      <w:r>
        <w:rPr>
          <w:rFonts w:cs="Arial" w:ascii="Arial" w:hAnsi="Arial"/>
          <w:i/>
        </w:rPr>
        <w:t>7. L’amministrazione competente al rilascio dell’autorizzazione paesaggistica, ricevuta l’istanza dell’interessato, verifica se ricorrono i presupposti per il rilascio.</w:t>
      </w:r>
    </w:p>
    <w:p>
      <w:pPr>
        <w:pStyle w:val="Nessunaspaziatura"/>
        <w:spacing w:before="120" w:after="120"/>
        <w:ind w:right="-1" w:hanging="0"/>
        <w:jc w:val="both"/>
        <w:rPr>
          <w:rFonts w:ascii="Arial" w:hAnsi="Arial" w:cs="Arial"/>
          <w:i/>
          <w:i/>
        </w:rPr>
      </w:pPr>
      <w:r>
        <w:rPr>
          <w:rFonts w:cs="Arial" w:ascii="Arial" w:hAnsi="Arial"/>
          <w:i/>
        </w:rPr>
        <w:t xml:space="preserve">Qualora detti presupposti non ricorrano, l’amministrazione verifica se l’istanza stessa sia corredata della documentazione di cui al comma 3, provvedendo, ove necessario, a richiedere le opportune integrazioni e a svolgere gli accertamenti del caso. </w:t>
      </w:r>
    </w:p>
    <w:p>
      <w:pPr>
        <w:pStyle w:val="Nessunaspaziatura"/>
        <w:spacing w:before="120" w:after="120"/>
        <w:ind w:right="-1" w:hanging="0"/>
        <w:jc w:val="both"/>
        <w:rPr/>
      </w:pPr>
      <w:r>
        <w:rPr>
          <w:rFonts w:cs="Arial" w:ascii="Arial" w:hAnsi="Arial"/>
          <w:i/>
        </w:rPr>
        <w:t xml:space="preserve">Entro quaranta giorni dalla ricezione dell’istanza, l’amministrazione effettua gli accertamenti circa la conformità dell’intervento proposto con le prescrizioni contenute nei provvedimenti di dichiarazione di interesse pubblico e nei piani paesaggistici e </w:t>
      </w:r>
      <w:r>
        <w:rPr>
          <w:rFonts w:cs="Arial" w:ascii="Arial" w:hAnsi="Arial"/>
          <w:i/>
          <w:u w:val="single"/>
        </w:rPr>
        <w:t>trasmette al Sovrintendente</w:t>
      </w:r>
      <w:r>
        <w:rPr>
          <w:rFonts w:cs="Arial" w:ascii="Arial" w:hAnsi="Arial"/>
          <w:i/>
        </w:rPr>
        <w:t xml:space="preserve"> la documentazione presentata dall’interessato, accompagnandola con una relazione tecnica illustrativa nonché con una proposta di provvedimento, e dà comunicazione all’interessato dell’inizio del procedimento e dell’avvenuta trasmissione degli atti al Sovrintendente.</w:t>
      </w:r>
    </w:p>
    <w:p>
      <w:pPr>
        <w:pStyle w:val="Normal"/>
        <w:spacing w:before="120" w:after="120"/>
        <w:ind w:right="-1" w:hanging="0"/>
        <w:jc w:val="both"/>
        <w:rPr>
          <w:rFonts w:ascii="Arial" w:hAnsi="Arial" w:cs="Arial"/>
          <w:i/>
          <w:i/>
          <w:sz w:val="18"/>
          <w:szCs w:val="18"/>
        </w:rPr>
      </w:pPr>
      <w:r>
        <w:rPr>
          <w:rFonts w:cs="Arial" w:ascii="Arial" w:hAnsi="Arial"/>
          <w:i/>
          <w:sz w:val="20"/>
        </w:rPr>
        <w:t>Ai sensi delle vigenti disposizioni di legge in materia di procedimento amministrativo</w:t>
      </w:r>
      <w:r>
        <w:rPr>
          <w:rFonts w:cs="Arial" w:ascii="Arial" w:hAnsi="Arial"/>
          <w:sz w:val="20"/>
        </w:rPr>
        <w:t xml:space="preserve">. </w:t>
      </w:r>
      <w:r>
        <w:rPr>
          <w:rFonts w:cs="Arial" w:ascii="Arial" w:hAnsi="Arial"/>
          <w:sz w:val="18"/>
          <w:szCs w:val="18"/>
        </w:rPr>
        <w:t>(</w:t>
      </w:r>
      <w:r>
        <w:rPr>
          <w:rFonts w:cs="Arial" w:ascii="Arial" w:hAnsi="Arial"/>
          <w:i/>
          <w:sz w:val="18"/>
          <w:szCs w:val="18"/>
        </w:rPr>
        <w:t>Senza l’autorizzazione non può esistere il TITOLO ABILITATIVO)</w:t>
      </w:r>
    </w:p>
    <w:p>
      <w:pPr>
        <w:pStyle w:val="Nessunaspaziatura"/>
        <w:keepNext w:val="true"/>
        <w:spacing w:before="120" w:after="120"/>
        <w:jc w:val="both"/>
        <w:rPr>
          <w:rFonts w:ascii="Arial" w:hAnsi="Arial" w:cs="Arial"/>
          <w:b/>
          <w:b/>
          <w:i/>
          <w:i/>
          <w:u w:val="single"/>
        </w:rPr>
      </w:pPr>
      <w:r>
        <w:rPr>
          <w:rFonts w:cs="Arial" w:ascii="Arial" w:hAnsi="Arial"/>
          <w:b/>
          <w:i/>
          <w:u w:val="single"/>
        </w:rPr>
        <w:t>IL Sovrintendente esprime il parere sulla compatibilità paesaggistica</w:t>
      </w:r>
    </w:p>
    <w:p>
      <w:pPr>
        <w:pStyle w:val="Nessunaspaziatura"/>
        <w:spacing w:before="120" w:after="120"/>
        <w:ind w:right="-1" w:hanging="0"/>
        <w:jc w:val="both"/>
        <w:rPr>
          <w:rFonts w:ascii="Arial" w:hAnsi="Arial" w:cs="Arial"/>
          <w:i/>
          <w:i/>
        </w:rPr>
      </w:pPr>
      <w:r>
        <w:rPr>
          <w:rFonts w:cs="Arial" w:ascii="Arial" w:hAnsi="Arial"/>
          <w:i/>
        </w:rPr>
        <w:t xml:space="preserve">8. Il Sovrintendente rende il parere di cui al comma 5, limitatamente alla compatibilità paesaggistica del progettato intervento nel suo complesso ed alla conformità dello stesso alle disposizioni contenute nel piano paesaggistico ovvero alla specifica disciplina di cui all’articolo 140, comma 2, entro il termine di quarantacinque giorni dalla ricezione degli atti. Il Sovrintendente, in caso di parere negativo, comunica agli interessati il preavviso di provvedimento negativo ai sensi dell’articolo 10-bis L. 241/90. </w:t>
      </w:r>
    </w:p>
    <w:p>
      <w:pPr>
        <w:pStyle w:val="Nessunaspaziatura"/>
        <w:spacing w:before="120" w:after="120"/>
        <w:ind w:right="-1" w:hanging="0"/>
        <w:jc w:val="both"/>
        <w:rPr>
          <w:rFonts w:ascii="Arial" w:hAnsi="Arial" w:cs="Arial"/>
          <w:i/>
          <w:i/>
        </w:rPr>
      </w:pPr>
      <w:r>
        <w:rPr>
          <w:rFonts w:cs="Arial" w:ascii="Arial" w:hAnsi="Arial"/>
          <w:i/>
        </w:rPr>
        <w:t xml:space="preserve">Entro venti giorni dalla ricezione del parere, l’amministrazione provvede in conformità. </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 Sovrintendente provvede l’amministrazione</w:t>
      </w:r>
    </w:p>
    <w:p>
      <w:pPr>
        <w:pStyle w:val="Normal"/>
        <w:spacing w:before="120" w:after="120"/>
        <w:ind w:right="-1" w:hanging="0"/>
        <w:jc w:val="both"/>
        <w:rPr>
          <w:rFonts w:ascii="Verdana" w:hAnsi="Verdana" w:cs="Verdana"/>
          <w:sz w:val="12"/>
          <w:szCs w:val="16"/>
        </w:rPr>
      </w:pPr>
      <w:r>
        <w:rPr>
          <w:rFonts w:cs="Arial" w:ascii="Arial" w:hAnsi="Arial"/>
          <w:i/>
          <w:sz w:val="20"/>
        </w:rPr>
        <w:t>9. Decorsi inutilmente sessanta giorni dalla ricezione degli atti da parte del Sovrintendente senza che questi abbia reso il prescritto parere, l’amministrazione competente provvede comunque sulla domanda di autorizzazione</w:t>
      </w:r>
      <w:r>
        <w:rPr>
          <w:rFonts w:cs="Arial" w:ascii="Arial" w:hAnsi="Arial"/>
          <w:i/>
        </w:rPr>
        <w:t xml:space="preserve">. </w:t>
      </w:r>
      <w:r>
        <w:rPr>
          <w:rFonts w:cs="Arial" w:ascii="Arial" w:hAnsi="Arial"/>
          <w:i/>
          <w:sz w:val="18"/>
          <w:szCs w:val="18"/>
        </w:rPr>
        <w:t>(Esiste una normativa diversa per gli interventi di lieve entità)</w:t>
      </w:r>
    </w:p>
    <w:p>
      <w:pPr>
        <w:pStyle w:val="Nessunaspaziatura"/>
        <w:spacing w:before="120" w:after="120"/>
        <w:ind w:right="-1" w:hanging="0"/>
        <w:jc w:val="both"/>
        <w:rPr>
          <w:rFonts w:ascii="Arial" w:hAnsi="Arial" w:cs="Arial"/>
          <w:b/>
          <w:b/>
          <w:i/>
          <w:i/>
          <w:u w:val="single"/>
        </w:rPr>
      </w:pPr>
      <w:r>
        <w:rPr>
          <w:rFonts w:cs="Arial" w:ascii="Arial" w:hAnsi="Arial"/>
          <w:b/>
          <w:i/>
          <w:u w:val="single"/>
        </w:rPr>
        <w:t>Nel silenzio dell’amministrazione (Comune) interviene la regione</w:t>
      </w:r>
    </w:p>
    <w:p>
      <w:pPr>
        <w:pStyle w:val="Nessunaspaziatura"/>
        <w:spacing w:before="120" w:after="120"/>
        <w:ind w:right="-1" w:hanging="0"/>
        <w:jc w:val="both"/>
        <w:rPr>
          <w:rFonts w:ascii="Arial" w:hAnsi="Arial" w:cs="Arial"/>
          <w:i/>
          <w:i/>
        </w:rPr>
      </w:pPr>
      <w:r>
        <w:rPr>
          <w:rFonts w:cs="Arial" w:ascii="Arial" w:hAnsi="Arial"/>
          <w:i/>
        </w:rPr>
        <w:t xml:space="preserve">10. Decorso inutilmente il termine indicato all’ultimo periodo del comma 8 senza che l’amministrazione si sia pronunciata, l’interessato può richiedere l’autorizzazione in via sostitutiva alla regione, che vi provvede, anche mediante un commissario ad acta, entro sessanta giorni dal ricevimento della richiesta. </w:t>
      </w:r>
    </w:p>
    <w:p>
      <w:pPr>
        <w:pStyle w:val="Nessunaspaziatura"/>
        <w:spacing w:before="120" w:after="120"/>
        <w:ind w:right="-1" w:hanging="0"/>
        <w:jc w:val="both"/>
        <w:rPr/>
      </w:pPr>
      <w:r>
        <w:rPr>
          <w:rFonts w:cs="Arial" w:ascii="Arial" w:hAnsi="Arial"/>
          <w:i/>
        </w:rPr>
        <w:t xml:space="preserve">Qualora la regione non abbia delegato gli enti indicati al comma 6 al rilascio dell’autorizzazione paesaggistica, e sia essa stessa inadempiente, la richiesta del rilascio in via sostitutiva è presentata al Sovrintendente. </w:t>
      </w:r>
    </w:p>
    <w:p>
      <w:pPr>
        <w:pStyle w:val="Nessunaspaziatura"/>
        <w:spacing w:before="120" w:after="120"/>
        <w:ind w:right="-1" w:hanging="0"/>
        <w:jc w:val="both"/>
        <w:rPr>
          <w:rFonts w:ascii="Arial" w:hAnsi="Arial" w:cs="Arial"/>
          <w:b/>
          <w:b/>
          <w:i/>
          <w:i/>
          <w:u w:val="single"/>
        </w:rPr>
      </w:pPr>
      <w:r>
        <w:rPr>
          <w:rFonts w:cs="Arial" w:ascii="Arial" w:hAnsi="Arial"/>
          <w:b/>
          <w:i/>
          <w:u w:val="single"/>
        </w:rPr>
        <w:t>L’autorizzazione viene trasmessa al Sovrintendente</w:t>
      </w:r>
    </w:p>
    <w:p>
      <w:pPr>
        <w:pStyle w:val="Normal"/>
        <w:spacing w:before="120" w:after="120"/>
        <w:ind w:right="-1" w:hanging="0"/>
        <w:jc w:val="both"/>
        <w:rPr>
          <w:rFonts w:ascii="Verdana" w:hAnsi="Verdana" w:cs="Verdana"/>
          <w:i/>
          <w:i/>
          <w:sz w:val="12"/>
          <w:szCs w:val="16"/>
        </w:rPr>
      </w:pPr>
      <w:r>
        <w:rPr>
          <w:rFonts w:cs="Arial" w:ascii="Arial" w:hAnsi="Arial"/>
          <w:i/>
          <w:sz w:val="20"/>
        </w:rPr>
        <w:t>11. L’autorizzazione paesaggistica è trasmessa, senza indugio, alla Soprintendenza che ha reso il parere nel corso del procedimento, nonché, unitamente allo stesso parere, alla regione ovvero agli altri enti pubblici territoriali interessati e, ove esistente, all’ente parco nel cui territorio si trova l’immobile o l’area sottoposti al vincolo</w:t>
      </w:r>
      <w:r>
        <w:rPr>
          <w:rFonts w:cs="Arial" w:ascii="Arial" w:hAnsi="Arial"/>
          <w:i/>
        </w:rPr>
        <w:t xml:space="preserve">. </w:t>
      </w:r>
      <w:r>
        <w:rPr>
          <w:rFonts w:cs="Arial" w:ascii="Arial" w:hAnsi="Arial"/>
          <w:i/>
          <w:sz w:val="18"/>
          <w:szCs w:val="18"/>
        </w:rPr>
        <w:t>(L’autorizzazione deve precedere la richiesta del titolo abilitativo)</w:t>
      </w:r>
    </w:p>
    <w:p>
      <w:pPr>
        <w:pStyle w:val="Nessunaspaziatura"/>
        <w:spacing w:before="120" w:after="120"/>
        <w:ind w:right="-1" w:hanging="0"/>
        <w:jc w:val="both"/>
        <w:rPr>
          <w:rFonts w:ascii="Arial" w:hAnsi="Arial" w:cs="Arial"/>
          <w:b/>
          <w:b/>
          <w:i/>
          <w:i/>
          <w:u w:val="single"/>
        </w:rPr>
      </w:pPr>
      <w:r>
        <w:rPr>
          <w:rFonts w:cs="Arial" w:ascii="Arial" w:hAnsi="Arial"/>
          <w:b/>
          <w:i/>
          <w:u w:val="single"/>
        </w:rPr>
        <w:t>Possibile il ricorso al TAR</w:t>
      </w:r>
    </w:p>
    <w:p>
      <w:pPr>
        <w:pStyle w:val="Nessunaspaziatura"/>
        <w:spacing w:before="120" w:after="120"/>
        <w:ind w:right="-1" w:hanging="0"/>
        <w:jc w:val="both"/>
        <w:rPr/>
      </w:pPr>
      <w:r>
        <w:rPr>
          <w:rFonts w:cs="Arial" w:ascii="Arial" w:hAnsi="Arial"/>
          <w:i/>
        </w:rPr>
        <w:t xml:space="preserve">12. L’autorizzazione paesaggistica è impugnabile, con ricorso al tribunale amministrativo regionale o con ricorso straordinario al Presidente della Repubblica, dalle associazioni portatrici di interessi diffusi individuate ai sensi delle vigenti disposizioni di legge in materia di ambiente e danno ambientale, e da qualsiasi altro soggetto pubblico o privato che ne abbia interesse…. </w:t>
      </w:r>
    </w:p>
    <w:p>
      <w:pPr>
        <w:pStyle w:val="Nessunaspaziatura"/>
        <w:spacing w:before="120" w:after="120"/>
        <w:ind w:right="-1" w:hanging="0"/>
        <w:jc w:val="both"/>
        <w:rPr>
          <w:rFonts w:ascii="Arial" w:hAnsi="Arial" w:cs="Arial"/>
          <w:b/>
          <w:b/>
          <w:i/>
          <w:i/>
          <w:u w:val="single"/>
        </w:rPr>
      </w:pPr>
      <w:r>
        <w:rPr>
          <w:rFonts w:cs="Arial" w:ascii="Arial" w:hAnsi="Arial"/>
          <w:b/>
          <w:i/>
          <w:u w:val="single"/>
        </w:rPr>
        <w:t>Elenco delle autorizzazioni rilasciate presso ogni Comune</w:t>
      </w:r>
    </w:p>
    <w:p>
      <w:pPr>
        <w:pStyle w:val="Nessunaspaziatura"/>
        <w:spacing w:before="120" w:after="120"/>
        <w:ind w:right="-1" w:hanging="0"/>
        <w:jc w:val="both"/>
        <w:rPr>
          <w:rFonts w:ascii="Arial" w:hAnsi="Arial" w:cs="Arial"/>
          <w:i/>
          <w:i/>
        </w:rPr>
      </w:pPr>
      <w:r>
        <w:rPr>
          <w:rFonts w:cs="Arial" w:ascii="Arial" w:hAnsi="Arial"/>
          <w:i/>
        </w:rPr>
        <w:t xml:space="preserve">13. Presso ogni amministrazione competente al rilascio dell’autorizzazione paesaggistica è istituito un elenco delle autorizzazioni rilasciate, aggiornato almeno ogni trenta giorni e liberamente consultabile, anche per via telematica, in cui è indicata la data di rilascio di ciascuna autorizzazione, con la annotazione sintetica del relativo oggetto. </w:t>
      </w:r>
    </w:p>
    <w:p>
      <w:pPr>
        <w:pStyle w:val="Nessunaspaziatura"/>
        <w:spacing w:before="120" w:after="120"/>
        <w:ind w:right="-1" w:hanging="0"/>
        <w:jc w:val="both"/>
        <w:rPr>
          <w:rFonts w:ascii="Arial" w:hAnsi="Arial" w:cs="Arial"/>
          <w:b/>
          <w:b/>
          <w:i/>
          <w:i/>
          <w:u w:val="single"/>
        </w:rPr>
      </w:pPr>
      <w:r>
        <w:rPr>
          <w:rFonts w:cs="Arial" w:ascii="Arial" w:hAnsi="Arial"/>
          <w:b/>
          <w:i/>
          <w:u w:val="single"/>
        </w:rPr>
        <w:t>Trasmissione elenco autorizzazioni rilasciate</w:t>
      </w:r>
    </w:p>
    <w:p>
      <w:pPr>
        <w:pStyle w:val="Nessunaspaziatura"/>
        <w:spacing w:before="120" w:after="120"/>
        <w:ind w:right="-1" w:hanging="0"/>
        <w:jc w:val="both"/>
        <w:rPr>
          <w:rFonts w:ascii="Arial" w:hAnsi="Arial" w:cs="Arial"/>
          <w:i/>
          <w:i/>
        </w:rPr>
      </w:pPr>
      <w:r>
        <w:rPr>
          <w:rFonts w:cs="Arial" w:ascii="Arial" w:hAnsi="Arial"/>
          <w:i/>
        </w:rPr>
        <w:t xml:space="preserve">Copia dell’elenco è trasmessa trimestralmente alla regione e alla Soprintendenza, ai fini dell’esercizio delle funzioni di vigilanza. </w:t>
      </w:r>
    </w:p>
    <w:p>
      <w:pPr>
        <w:pStyle w:val="Nessunaspaziatura"/>
        <w:spacing w:before="120" w:after="120"/>
        <w:ind w:right="-1" w:hanging="0"/>
        <w:jc w:val="both"/>
        <w:rPr>
          <w:rFonts w:ascii="Arial" w:hAnsi="Arial" w:cs="Arial"/>
          <w:b/>
          <w:b/>
          <w:i/>
          <w:i/>
          <w:color w:val="333333"/>
          <w:szCs w:val="22"/>
        </w:rPr>
      </w:pPr>
      <w:r>
        <w:rPr>
          <w:rFonts w:cs="Arial" w:ascii="Arial" w:hAnsi="Arial"/>
          <w:b/>
          <w:i/>
          <w:color w:val="333333"/>
          <w:szCs w:val="22"/>
        </w:rPr>
        <w:t>L’autorizzazione ordinaria è un provvedimento indipendente, a sé stante</w:t>
      </w:r>
    </w:p>
    <w:p>
      <w:pPr>
        <w:pStyle w:val="Nessunaspaziatura"/>
        <w:spacing w:before="120" w:after="120"/>
        <w:ind w:right="-1" w:hanging="0"/>
        <w:jc w:val="both"/>
        <w:rPr>
          <w:rFonts w:ascii="Arial" w:hAnsi="Arial" w:cs="Arial"/>
          <w:i/>
          <w:i/>
          <w:color w:val="333333"/>
          <w:szCs w:val="22"/>
          <w:u w:val="single"/>
        </w:rPr>
      </w:pPr>
      <w:r>
        <w:rPr>
          <w:rFonts w:cs="Arial" w:ascii="Arial" w:hAnsi="Arial"/>
          <w:i/>
          <w:color w:val="333333"/>
          <w:szCs w:val="22"/>
        </w:rPr>
        <w:t>L'autorizzazione</w:t>
      </w:r>
      <w:r>
        <w:rPr>
          <w:rFonts w:cs="Arial" w:ascii="Arial" w:hAnsi="Arial"/>
          <w:color w:val="333333"/>
          <w:szCs w:val="22"/>
        </w:rPr>
        <w:t xml:space="preserve"> è infatti un provvedimento autonomo rispetto al titolo abilitativo edilizio </w:t>
      </w:r>
      <w:r>
        <w:rPr>
          <w:rFonts w:cs="Arial" w:ascii="Arial" w:hAnsi="Arial"/>
          <w:i/>
          <w:iCs/>
          <w:color w:val="333333"/>
          <w:szCs w:val="22"/>
        </w:rPr>
        <w:t>(Permesso di Costruire o SCIA)</w:t>
      </w:r>
      <w:r>
        <w:rPr>
          <w:rFonts w:cs="Arial" w:ascii="Arial" w:hAnsi="Arial"/>
          <w:color w:val="333333"/>
          <w:szCs w:val="22"/>
        </w:rPr>
        <w:t xml:space="preserve"> ma ne costituisce il presupposto, nel senso che quest’ultimi si attivano solo dopo che si perfezionato l'iter di efficacia </w:t>
      </w:r>
      <w:r>
        <w:rPr>
          <w:rFonts w:cs="Arial" w:ascii="Arial" w:hAnsi="Arial"/>
          <w:i/>
          <w:color w:val="333333"/>
          <w:szCs w:val="22"/>
          <w:u w:val="single"/>
        </w:rPr>
        <w:t>dell’autorizzazione paesaggistica.</w:t>
      </w:r>
    </w:p>
    <w:p>
      <w:pPr>
        <w:pStyle w:val="Nessunaspaziatura"/>
        <w:spacing w:before="120" w:after="120"/>
        <w:ind w:right="-1" w:hanging="0"/>
        <w:jc w:val="both"/>
        <w:rPr>
          <w:rFonts w:ascii="Arial" w:hAnsi="Arial" w:cs="Arial"/>
          <w:b/>
          <w:b/>
          <w:i/>
          <w:i/>
          <w:color w:val="333333"/>
        </w:rPr>
      </w:pPr>
      <w:r>
        <w:rPr>
          <w:rFonts w:cs="Arial" w:ascii="Arial" w:hAnsi="Arial"/>
          <w:b/>
          <w:i/>
          <w:color w:val="333333"/>
        </w:rPr>
        <w:t>Limitazione del titolo abilitante</w:t>
      </w:r>
    </w:p>
    <w:p>
      <w:pPr>
        <w:pStyle w:val="Nessunaspaziatura"/>
        <w:spacing w:before="120" w:after="120"/>
        <w:ind w:right="-1" w:hanging="0"/>
        <w:jc w:val="both"/>
        <w:rPr>
          <w:rFonts w:ascii="Arial" w:hAnsi="Arial" w:cs="Arial"/>
          <w:color w:val="333333"/>
        </w:rPr>
      </w:pPr>
      <w:r>
        <w:rPr>
          <w:rFonts w:cs="Arial" w:ascii="Arial" w:hAnsi="Arial"/>
          <w:color w:val="333333"/>
        </w:rPr>
        <w:t>Da considerare altresì che l'intervento edilizio deve essere realizzato con l'osservanza delle prescrizioni eventualmente previste nell’autorizzazione paesaggistica stessa.</w:t>
      </w:r>
    </w:p>
    <w:p>
      <w:pPr>
        <w:pStyle w:val="Normal"/>
        <w:keepNext w:val="true"/>
        <w:pBdr>
          <w:top w:val="single" w:sz="4" w:space="1" w:color="000000"/>
          <w:left w:val="single" w:sz="4" w:space="4" w:color="000000"/>
          <w:bottom w:val="single" w:sz="4" w:space="1" w:color="000000"/>
          <w:right w:val="single" w:sz="4" w:space="4" w:color="000000"/>
        </w:pBdr>
        <w:shd w:fill="D9D9D9" w:val="clear"/>
        <w:spacing w:before="120" w:after="120"/>
        <w:ind w:right="-1" w:hanging="0"/>
        <w:jc w:val="both"/>
        <w:rPr/>
      </w:pPr>
      <w:r>
        <w:rPr>
          <w:rFonts w:eastAsia="Times New Roman" w:cs="Arial" w:ascii="Arial" w:hAnsi="Arial"/>
          <w:b/>
          <w:i/>
          <w:sz w:val="20"/>
          <w:szCs w:val="20"/>
          <w:lang w:eastAsia="it-IT"/>
        </w:rPr>
        <w:t xml:space="preserve">Differenza fra l’autorizzazione paesaggistica </w:t>
      </w:r>
      <w:r>
        <w:rPr>
          <w:rFonts w:eastAsia="Times New Roman" w:cs="Arial" w:ascii="Arial" w:hAnsi="Arial"/>
          <w:b/>
          <w:i/>
          <w:sz w:val="20"/>
          <w:szCs w:val="20"/>
          <w:u w:val="single"/>
          <w:lang w:eastAsia="it-IT"/>
        </w:rPr>
        <w:t>ordinaria</w:t>
      </w:r>
      <w:r>
        <w:rPr>
          <w:rFonts w:eastAsia="Times New Roman" w:cs="Arial" w:ascii="Arial" w:hAnsi="Arial"/>
          <w:b/>
          <w:i/>
          <w:sz w:val="20"/>
          <w:szCs w:val="20"/>
          <w:lang w:eastAsia="it-IT"/>
        </w:rPr>
        <w:t xml:space="preserve"> e quella </w:t>
      </w:r>
      <w:r>
        <w:rPr>
          <w:rFonts w:eastAsia="Times New Roman" w:cs="Arial" w:ascii="Arial" w:hAnsi="Arial"/>
          <w:b/>
          <w:i/>
          <w:sz w:val="20"/>
          <w:szCs w:val="20"/>
          <w:u w:val="single"/>
          <w:lang w:eastAsia="it-IT"/>
        </w:rPr>
        <w:t>semplificata</w:t>
      </w:r>
      <w:r>
        <w:rPr>
          <w:rFonts w:eastAsia="Times New Roman" w:cs="Arial" w:ascii="Arial" w:hAnsi="Arial"/>
          <w:b/>
          <w:i/>
          <w:sz w:val="20"/>
          <w:szCs w:val="20"/>
          <w:lang w:eastAsia="it-IT"/>
        </w:rPr>
        <w:t xml:space="preserve"> </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semplificata,</w:t>
      </w:r>
      <w:r>
        <w:rPr>
          <w:rFonts w:eastAsia="Times New Roman" w:cs="Arial" w:ascii="Arial" w:hAnsi="Arial"/>
          <w:sz w:val="20"/>
          <w:szCs w:val="20"/>
          <w:lang w:eastAsia="it-IT"/>
        </w:rPr>
        <w:t xml:space="preserve"> viene presentata per tutti gli interventi lievi indicati, </w:t>
      </w:r>
      <w:r>
        <w:rPr>
          <w:rFonts w:eastAsia="Times New Roman" w:cs="Arial" w:ascii="Arial" w:hAnsi="Arial"/>
          <w:b/>
          <w:i/>
          <w:sz w:val="20"/>
          <w:szCs w:val="20"/>
          <w:lang w:eastAsia="it-IT"/>
        </w:rPr>
        <w:t>(All. B)</w:t>
      </w:r>
      <w:r>
        <w:rPr>
          <w:rFonts w:eastAsia="Times New Roman" w:cs="Arial" w:ascii="Arial" w:hAnsi="Arial"/>
          <w:sz w:val="20"/>
          <w:szCs w:val="20"/>
          <w:lang w:eastAsia="it-IT"/>
        </w:rPr>
        <w:t xml:space="preserve"> non realizzabili con quella ordinaria, ha il termine di conclusione del procedimento di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60 giorni,</w:t>
      </w:r>
      <w:r>
        <w:rPr>
          <w:rFonts w:eastAsia="Times New Roman" w:cs="Arial" w:ascii="Arial" w:hAnsi="Arial"/>
          <w:color w:val="000000"/>
          <w:sz w:val="20"/>
          <w:szCs w:val="20"/>
          <w:lang w:eastAsia="it-IT"/>
        </w:rPr>
        <w:t xml:space="preserve"> </w:t>
      </w:r>
      <w:r>
        <w:rPr>
          <w:rFonts w:eastAsia="Times New Roman" w:cs="Arial" w:ascii="Arial" w:hAnsi="Arial"/>
          <w:sz w:val="20"/>
          <w:szCs w:val="20"/>
          <w:lang w:eastAsia="it-IT"/>
        </w:rPr>
        <w:t>fatte salve eventuali sospensioni ed interruzioni di qualsiasi natura.</w:t>
      </w:r>
      <w:r>
        <w:rPr>
          <w:rFonts w:cs="Arial" w:ascii="Arial" w:hAnsi="Arial"/>
          <w:i/>
          <w:color w:val="000000"/>
          <w:sz w:val="20"/>
          <w:szCs w:val="20"/>
          <w:lang w:eastAsia="it-IT"/>
        </w:rPr>
        <w:t xml:space="preserve"> (</w:t>
      </w:r>
      <w:r>
        <w:rPr>
          <w:rFonts w:cs="Arial" w:ascii="Arial" w:hAnsi="Arial"/>
          <w:i/>
          <w:sz w:val="18"/>
          <w:szCs w:val="18"/>
        </w:rPr>
        <w:t>DPR n. 31 del 2017. All. “B”)</w:t>
      </w:r>
    </w:p>
    <w:p>
      <w:pPr>
        <w:pStyle w:val="Normal"/>
        <w:pBdr>
          <w:top w:val="single" w:sz="4" w:space="1" w:color="000000"/>
          <w:left w:val="single" w:sz="4" w:space="4" w:color="000000"/>
          <w:bottom w:val="single" w:sz="4" w:space="1" w:color="000000"/>
          <w:right w:val="single" w:sz="4" w:space="4" w:color="000000"/>
        </w:pBdr>
        <w:spacing w:before="120" w:after="120"/>
        <w:ind w:right="-1" w:hanging="0"/>
        <w:jc w:val="both"/>
        <w:rPr>
          <w:rFonts w:ascii="Verdana" w:hAnsi="Verdana" w:cs="Verdana"/>
          <w:sz w:val="12"/>
          <w:szCs w:val="16"/>
        </w:rPr>
      </w:pPr>
      <w:r>
        <w:rPr>
          <w:rFonts w:eastAsia="Times New Roman" w:cs="Arial" w:ascii="Arial" w:hAnsi="Arial"/>
          <w:i/>
          <w:sz w:val="20"/>
          <w:szCs w:val="20"/>
          <w:u w:val="single"/>
          <w:lang w:eastAsia="it-IT"/>
        </w:rPr>
        <w:t>Autorizzazione paesaggistica ordinaria</w:t>
      </w:r>
      <w:r>
        <w:rPr>
          <w:rFonts w:eastAsia="Times New Roman" w:cs="Arial" w:ascii="Arial" w:hAnsi="Arial"/>
          <w:i/>
          <w:sz w:val="20"/>
          <w:szCs w:val="20"/>
          <w:lang w:eastAsia="it-IT"/>
        </w:rPr>
        <w:t xml:space="preserve"> viene presentata per tutti gli interventi importanti non realizzabili con quella semplificata</w:t>
      </w:r>
      <w:r>
        <w:rPr>
          <w:rFonts w:eastAsia="Times New Roman" w:cs="Arial" w:ascii="Arial" w:hAnsi="Arial"/>
          <w:bCs/>
          <w:i/>
          <w:sz w:val="20"/>
          <w:szCs w:val="20"/>
          <w:lang w:eastAsia="it-IT"/>
        </w:rPr>
        <w:t>,</w:t>
      </w:r>
      <w:r>
        <w:rPr>
          <w:rFonts w:eastAsia="Times New Roman" w:cs="Arial" w:ascii="Arial" w:hAnsi="Arial"/>
          <w:i/>
          <w:sz w:val="20"/>
          <w:szCs w:val="20"/>
          <w:lang w:eastAsia="it-IT"/>
        </w:rPr>
        <w:t xml:space="preserve"> ha il termine di conclusione del procedimento di</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120 gg,</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se la Soprintendenza non esprime il parere nel termine previsto,</w:t>
      </w:r>
      <w:r>
        <w:rPr>
          <w:rFonts w:eastAsia="Times New Roman" w:cs="Arial" w:ascii="Arial" w:hAnsi="Arial"/>
          <w:i/>
          <w:color w:val="000000"/>
          <w:sz w:val="20"/>
          <w:szCs w:val="20"/>
          <w:lang w:eastAsia="it-IT"/>
        </w:rPr>
        <w:t xml:space="preserve"> </w:t>
      </w:r>
      <w:r>
        <w:rPr>
          <w:rFonts w:eastAsia="Times New Roman" w:cs="Arial" w:ascii="Arial" w:hAnsi="Arial"/>
          <w:i/>
          <w:sz w:val="20"/>
          <w:szCs w:val="20"/>
          <w:lang w:eastAsia="it-IT"/>
        </w:rPr>
        <w:t xml:space="preserve">fatte salve eventuali sospensioni ed interruzioni di qualsiasi natura. </w:t>
      </w:r>
      <w:r>
        <w:rPr>
          <w:rFonts w:eastAsia="Times New Roman" w:cs="Arial" w:ascii="Arial" w:hAnsi="Arial"/>
          <w:i/>
          <w:sz w:val="18"/>
          <w:szCs w:val="18"/>
          <w:lang w:eastAsia="it-IT"/>
        </w:rPr>
        <w:t>(</w:t>
      </w:r>
      <w:r>
        <w:rPr>
          <w:rFonts w:cs="Arial" w:ascii="Arial" w:hAnsi="Arial"/>
          <w:i/>
          <w:sz w:val="18"/>
          <w:szCs w:val="18"/>
        </w:rPr>
        <w:t>Art. 146 del D. Lgs. n. 42 del 2004)</w:t>
      </w:r>
    </w:p>
    <w:p>
      <w:pPr>
        <w:pStyle w:val="Nessunaspaziatura"/>
        <w:spacing w:before="120" w:after="120"/>
        <w:ind w:right="-1" w:hanging="0"/>
        <w:jc w:val="both"/>
        <w:rPr>
          <w:rFonts w:ascii="Arial" w:hAnsi="Arial" w:cs="Arial"/>
        </w:rPr>
      </w:pPr>
      <w:r>
        <w:rPr>
          <w:rFonts w:cs="Arial" w:ascii="Arial" w:hAnsi="Arial"/>
          <w:b/>
          <w:i/>
        </w:rPr>
        <w:t xml:space="preserve">Inizio lavori e durata dell’autorizzazione paesaggistica ordinaria </w:t>
      </w:r>
    </w:p>
    <w:p>
      <w:pPr>
        <w:pStyle w:val="Nessunaspaziatura"/>
        <w:numPr>
          <w:ilvl w:val="0"/>
          <w:numId w:val="19"/>
        </w:numPr>
        <w:spacing w:before="120" w:after="120"/>
        <w:ind w:left="720" w:right="-1" w:hanging="360"/>
        <w:jc w:val="both"/>
        <w:rPr>
          <w:rFonts w:ascii="Arial" w:hAnsi="Arial" w:cs="Arial"/>
        </w:rPr>
      </w:pPr>
      <w:r>
        <w:rPr>
          <w:rFonts w:cs="Arial" w:ascii="Arial" w:hAnsi="Arial"/>
          <w:i/>
        </w:rPr>
        <w:t>Dopo il rilascio dell’autorizzazione è possibile l’inizio dei lavori, solo dopo avere ottenuto il titolo abilitativo edilizio (Permesso di costruire), o aver completato l’iter per la (CILA/SCIA/PAS).</w:t>
      </w:r>
    </w:p>
    <w:p>
      <w:pPr>
        <w:pStyle w:val="Nessunaspaziatura"/>
        <w:numPr>
          <w:ilvl w:val="0"/>
          <w:numId w:val="19"/>
        </w:numPr>
        <w:spacing w:before="120" w:after="120"/>
        <w:ind w:left="720" w:right="-1" w:hanging="360"/>
        <w:jc w:val="both"/>
        <w:rPr/>
      </w:pPr>
      <w:bookmarkStart w:id="1" w:name="_inizio"/>
      <w:bookmarkEnd w:id="1"/>
      <w:r>
        <w:rPr>
          <w:rFonts w:cs="Arial" w:ascii="Arial" w:hAnsi="Arial"/>
          <w:i/>
        </w:rPr>
        <w:t xml:space="preserve">L’autorizzazione è </w:t>
      </w:r>
      <w:r>
        <w:rPr>
          <w:rFonts w:cs="Arial" w:ascii="Arial" w:hAnsi="Arial"/>
          <w:b/>
          <w:i/>
        </w:rPr>
        <w:t>efficace per un periodo di cinque anni</w:t>
      </w:r>
      <w:r>
        <w:rPr>
          <w:rFonts w:cs="Arial" w:ascii="Arial" w:hAnsi="Arial"/>
          <w:i/>
        </w:rPr>
        <w:t xml:space="preserve">, scaduto il quale l’esecuzione dei progettati lavori deve essere sottoposta a nuova autorizzazione. </w:t>
      </w:r>
    </w:p>
    <w:p>
      <w:pPr>
        <w:pStyle w:val="Nessunaspaziatura"/>
        <w:numPr>
          <w:ilvl w:val="0"/>
          <w:numId w:val="19"/>
        </w:numPr>
        <w:spacing w:before="120" w:after="120"/>
        <w:ind w:left="720" w:right="-1" w:hanging="360"/>
        <w:jc w:val="both"/>
        <w:rPr/>
      </w:pPr>
      <w:r>
        <w:rPr>
          <w:rFonts w:cs="Arial" w:ascii="Arial" w:hAnsi="Arial"/>
          <w:i/>
        </w:rPr>
        <w:t xml:space="preserve">I lavori iniziati nel corso del quinquennio di efficacia dell’autorizzazione possono essere </w:t>
      </w:r>
      <w:r>
        <w:rPr>
          <w:rFonts w:cs="Arial" w:ascii="Arial" w:hAnsi="Arial"/>
          <w:i/>
          <w:u w:val="single"/>
        </w:rPr>
        <w:t xml:space="preserve">conclusi </w:t>
      </w:r>
      <w:r>
        <w:rPr>
          <w:rFonts w:cs="Arial" w:ascii="Arial" w:hAnsi="Arial"/>
          <w:i/>
        </w:rPr>
        <w:t>entro, e non oltre,</w:t>
      </w:r>
      <w:r>
        <w:rPr>
          <w:rFonts w:cs="Arial" w:ascii="Arial" w:hAnsi="Arial"/>
          <w:i/>
          <w:u w:val="single"/>
        </w:rPr>
        <w:t xml:space="preserve"> </w:t>
      </w:r>
      <w:r>
        <w:rPr>
          <w:rFonts w:cs="Arial" w:ascii="Arial" w:hAnsi="Arial"/>
          <w:b/>
          <w:i/>
          <w:u w:val="single"/>
        </w:rPr>
        <w:t xml:space="preserve">l’anno successivo </w:t>
      </w:r>
      <w:r>
        <w:rPr>
          <w:rFonts w:cs="Arial" w:ascii="Arial" w:hAnsi="Arial"/>
          <w:i/>
        </w:rPr>
        <w:t>la scadenza del quinquennio medesimo.</w:t>
      </w:r>
      <w:r>
        <w:rPr>
          <w:rFonts w:cs="Arial" w:ascii="Arial" w:hAnsi="Arial"/>
          <w:b/>
          <w:i/>
        </w:rPr>
        <w:t xml:space="preserve"> </w:t>
      </w:r>
    </w:p>
    <w:p>
      <w:pPr>
        <w:pStyle w:val="Nessunaspaziatura"/>
        <w:spacing w:before="120" w:after="120"/>
        <w:ind w:right="-1" w:hanging="0"/>
        <w:jc w:val="both"/>
        <w:rPr/>
      </w:pPr>
      <w:r>
        <w:rPr>
          <w:rFonts w:eastAsia="Calibri" w:cs="Arial" w:ascii="Arial" w:hAnsi="Arial"/>
          <w:b/>
          <w:i/>
          <w:color w:val="000000"/>
        </w:rPr>
        <w:t>Presentazione della</w:t>
      </w:r>
      <w:r>
        <w:rPr>
          <w:rFonts w:cs="Arial" w:ascii="Arial" w:hAnsi="Arial"/>
          <w:b/>
          <w:i/>
        </w:rPr>
        <w:t xml:space="preserve"> richiesta d’autorizzazione </w:t>
      </w:r>
    </w:p>
    <w:p>
      <w:pPr>
        <w:pStyle w:val="Nessunaspaziatura"/>
        <w:spacing w:before="120" w:after="120"/>
        <w:ind w:right="-1" w:hanging="0"/>
        <w:jc w:val="both"/>
        <w:rPr>
          <w:rFonts w:ascii="Arial" w:hAnsi="Arial" w:cs="Arial"/>
          <w:i/>
          <w:i/>
        </w:rPr>
      </w:pPr>
      <w:r>
        <w:rPr>
          <w:rFonts w:cs="Arial" w:ascii="Arial" w:hAnsi="Arial"/>
        </w:rPr>
        <w:t xml:space="preserve">La richiesta di </w:t>
      </w:r>
      <w:r>
        <w:rPr>
          <w:rFonts w:cs="Arial" w:ascii="Arial" w:hAnsi="Arial"/>
          <w:i/>
        </w:rPr>
        <w:t>autorizzazione</w:t>
      </w:r>
      <w:r>
        <w:rPr>
          <w:rFonts w:cs="Arial" w:ascii="Arial" w:hAnsi="Arial"/>
        </w:rPr>
        <w:t xml:space="preserve"> deve essere presentata </w:t>
      </w:r>
      <w:r>
        <w:rPr>
          <w:rFonts w:cs="Arial" w:ascii="Arial" w:hAnsi="Arial"/>
          <w:sz w:val="18"/>
        </w:rPr>
        <w:t xml:space="preserve">presso lo Sportello unico per l’Edilizia (SUE) </w:t>
      </w:r>
      <w:r>
        <w:rPr>
          <w:rFonts w:cs="Arial" w:ascii="Arial" w:hAnsi="Arial"/>
          <w:spacing w:val="2"/>
          <w:sz w:val="18"/>
        </w:rPr>
        <w:t xml:space="preserve">o trasmessa via e-mail con PEC, </w:t>
      </w:r>
      <w:r>
        <w:rPr>
          <w:rFonts w:cs="Arial" w:ascii="Arial" w:hAnsi="Arial"/>
          <w:i/>
          <w:sz w:val="18"/>
        </w:rPr>
        <w:t>nell’apposito stampato regionale</w:t>
      </w:r>
      <w:r>
        <w:rPr>
          <w:rFonts w:cs="Arial" w:ascii="Arial" w:hAnsi="Arial"/>
          <w:b/>
          <w:i/>
          <w:sz w:val="18"/>
        </w:rPr>
        <w:t>,</w:t>
      </w:r>
      <w:r>
        <w:rPr>
          <w:rFonts w:cs="Arial" w:ascii="Arial" w:hAnsi="Arial"/>
          <w:sz w:val="18"/>
        </w:rPr>
        <w:t xml:space="preserve"> </w:t>
      </w:r>
      <w:r>
        <w:rPr>
          <w:rFonts w:cs="Arial" w:ascii="Arial" w:hAnsi="Arial"/>
          <w:i/>
          <w:sz w:val="18"/>
        </w:rPr>
        <w:t>(allegando, secondo l’intervento edilizio la documentazione prevista</w:t>
      </w:r>
      <w:r>
        <w:rPr>
          <w:rFonts w:cs="Arial" w:ascii="Arial" w:hAnsi="Arial"/>
          <w:i/>
        </w:rPr>
        <w:t xml:space="preserve">), </w:t>
      </w:r>
      <w:r>
        <w:rPr>
          <w:rFonts w:cs="Arial" w:ascii="Arial" w:hAnsi="Arial"/>
        </w:rPr>
        <w:t xml:space="preserve">da un soggetto avente titolo per commissionare o compiere i lavori di carattere edile e ottenere il titolo abilitativo, </w:t>
      </w:r>
      <w:r>
        <w:rPr>
          <w:rFonts w:cs="Arial" w:ascii="Arial" w:hAnsi="Arial"/>
          <w:i/>
        </w:rPr>
        <w:t>(</w:t>
      </w:r>
      <w:r>
        <w:rPr>
          <w:rFonts w:cs="Arial" w:ascii="Arial" w:hAnsi="Arial"/>
          <w:i/>
          <w:u w:val="single"/>
        </w:rPr>
        <w:t>proprietario</w:t>
      </w:r>
      <w:r>
        <w:rPr>
          <w:rFonts w:cs="Arial" w:ascii="Arial" w:hAnsi="Arial"/>
          <w:i/>
        </w:rPr>
        <w:t>, as</w:t>
        <w:softHyphen/>
        <w:t>suntore, titolare di un diritto reale, usufruttuario, e altri come indicato dal regolamento edilizio).</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sz w:val="18"/>
          <w:szCs w:val="18"/>
        </w:rPr>
      </w:pPr>
      <w:r>
        <w:rPr>
          <w:rFonts w:cs="Arial" w:ascii="Arial" w:hAnsi="Arial"/>
          <w:i/>
          <w:sz w:val="18"/>
          <w:szCs w:val="18"/>
        </w:rPr>
        <w:t>Spetta all’ufficio la procedura relativa alla pratica edilizia, con la trasmissione della richiesta di autorizzazione al Sovrintendente.</w:t>
      </w:r>
    </w:p>
    <w:p>
      <w:pPr>
        <w:pStyle w:val="Normal"/>
        <w:pBdr>
          <w:top w:val="single" w:sz="4" w:space="1" w:color="000000"/>
          <w:left w:val="single" w:sz="4" w:space="1" w:color="000000"/>
          <w:bottom w:val="single" w:sz="4" w:space="1" w:color="000000"/>
          <w:right w:val="single" w:sz="4" w:space="1" w:color="000000"/>
        </w:pBdr>
        <w:spacing w:before="120" w:after="120"/>
        <w:ind w:right="-1" w:hanging="0"/>
        <w:jc w:val="center"/>
        <w:rPr>
          <w:rFonts w:ascii="Arial" w:hAnsi="Arial" w:cs="Arial"/>
          <w:i/>
          <w:i/>
          <w:sz w:val="18"/>
          <w:szCs w:val="18"/>
        </w:rPr>
      </w:pPr>
      <w:r>
        <w:rPr>
          <w:rFonts w:cs="Arial" w:ascii="Arial" w:hAnsi="Arial"/>
          <w:i/>
          <w:sz w:val="16"/>
          <w:szCs w:val="16"/>
        </w:rPr>
        <w:t>(Trovano applicazioni le disposizioni in materia di Amministrazione digitale)</w:t>
      </w:r>
    </w:p>
    <w:p>
      <w:pPr>
        <w:pStyle w:val="Nessunaspaziatura"/>
        <w:spacing w:before="120" w:after="120"/>
        <w:ind w:right="-1" w:hanging="0"/>
        <w:jc w:val="both"/>
        <w:rPr/>
      </w:pPr>
      <w:r>
        <w:rPr>
          <w:rFonts w:eastAsia="Calibri" w:cs="Arial" w:ascii="Arial" w:hAnsi="Arial"/>
          <w:b/>
          <w:i/>
          <w:color w:val="000000"/>
        </w:rPr>
        <w:t>Sportello unico per l’edilizia</w:t>
      </w:r>
      <w:r>
        <w:rPr>
          <w:rFonts w:cs="Arial" w:ascii="Arial" w:hAnsi="Arial"/>
          <w:b/>
          <w:i/>
        </w:rPr>
        <w:t xml:space="preserve"> </w:t>
      </w:r>
    </w:p>
    <w:p>
      <w:pPr>
        <w:pStyle w:val="Nessunaspaziatura"/>
        <w:spacing w:before="120" w:after="120"/>
        <w:ind w:right="-1" w:hanging="0"/>
        <w:jc w:val="both"/>
        <w:rPr>
          <w:rFonts w:ascii="Arial" w:hAnsi="Arial" w:cs="Arial"/>
          <w:i/>
          <w:i/>
        </w:rPr>
      </w:pPr>
      <w:r>
        <w:rPr>
          <w:rFonts w:cs="Arial" w:ascii="Arial" w:hAnsi="Arial"/>
        </w:rPr>
        <w:t xml:space="preserve">Ricevuta la richiesta del Permesso di costruire </w:t>
      </w:r>
      <w:r>
        <w:rPr>
          <w:rFonts w:cs="Arial" w:ascii="Arial" w:hAnsi="Arial"/>
          <w:i/>
          <w:iCs/>
        </w:rPr>
        <w:t>(o la SCIA/CILA)</w:t>
      </w:r>
      <w:r>
        <w:rPr>
          <w:rFonts w:cs="Arial" w:ascii="Arial" w:hAnsi="Arial"/>
        </w:rPr>
        <w:t xml:space="preserve"> con l’istanza relativa all’acquisizione della citata autorizzazione, dopo gli adempimenti dell’ufficio, il parere della Commissione specifica, trasmette quest’ultima istanza con la progettazione e quant’altro previsto al Sovrintendente di riferimento per la determinazione, </w:t>
      </w:r>
      <w:r>
        <w:rPr>
          <w:rFonts w:cs="Arial" w:ascii="Arial" w:hAnsi="Arial"/>
          <w:b/>
          <w:i/>
          <w:u w:val="single"/>
        </w:rPr>
        <w:t>con una proposta di provvedimento</w:t>
      </w:r>
      <w:r>
        <w:rPr>
          <w:rFonts w:cs="Arial" w:ascii="Arial" w:hAnsi="Arial"/>
          <w:i/>
          <w:u w:val="single"/>
        </w:rPr>
        <w:t>.</w:t>
      </w:r>
      <w:r>
        <w:rPr>
          <w:rFonts w:cs="Arial" w:ascii="Arial" w:hAnsi="Arial"/>
          <w:i/>
        </w:rPr>
        <w:t xml:space="preserve"> </w:t>
      </w:r>
    </w:p>
    <w:p>
      <w:pPr>
        <w:pStyle w:val="Nessunaspaziatura"/>
        <w:spacing w:before="120" w:after="120"/>
        <w:ind w:right="-1" w:hanging="0"/>
        <w:jc w:val="both"/>
        <w:rPr>
          <w:rFonts w:ascii="Arial" w:hAnsi="Arial" w:cs="Arial"/>
          <w:i/>
          <w:i/>
          <w:sz w:val="18"/>
          <w:szCs w:val="18"/>
        </w:rPr>
      </w:pPr>
      <w:r>
        <w:rPr>
          <w:rFonts w:cs="Arial" w:ascii="Arial" w:hAnsi="Arial"/>
          <w:iCs/>
        </w:rPr>
        <w:t>Contestualmente ne dà comunicazione all’interessato dell’inizio del procedimento e dell’avvenuta trasmissione degli atti</w:t>
      </w:r>
      <w:r>
        <w:rPr>
          <w:rFonts w:cs="Arial" w:ascii="Arial" w:hAnsi="Arial"/>
          <w:iCs/>
          <w:sz w:val="18"/>
          <w:szCs w:val="18"/>
        </w:rPr>
        <w:t xml:space="preserve">. </w:t>
      </w:r>
      <w:r>
        <w:rPr>
          <w:rFonts w:cs="Arial" w:ascii="Arial" w:hAnsi="Arial"/>
          <w:i/>
          <w:sz w:val="18"/>
          <w:szCs w:val="18"/>
        </w:rPr>
        <w:t>(Il silenzio del Sovrintendente per 60 gg. fa acquisire efficacia all’autorizzazione paesaggistica).</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rPr>
      </w:pPr>
      <w:r>
        <w:rPr>
          <w:rFonts w:cs="Arial" w:ascii="Arial" w:hAnsi="Arial"/>
          <w:b/>
          <w:i/>
        </w:rPr>
        <w:t>Interventi già liberi non soggetti ad autorizzazione paesaggistica</w:t>
      </w:r>
      <w:r>
        <w:rPr>
          <w:rFonts w:cs="Arial" w:ascii="Arial" w:hAnsi="Arial"/>
        </w:rPr>
        <w:t xml:space="preserve"> </w:t>
      </w:r>
      <w:r>
        <w:rPr>
          <w:rFonts w:cs="Arial" w:ascii="Arial" w:hAnsi="Arial"/>
          <w:i/>
        </w:rPr>
        <w:t>(neanche semplificata, oltre a quelli previsti nell’allegato “A” del DPR n. 3/2017)</w:t>
      </w:r>
      <w:r>
        <w:rPr>
          <w:rFonts w:cs="Arial" w:ascii="Arial" w:hAnsi="Arial"/>
          <w:iCs/>
          <w:sz w:val="18"/>
        </w:rPr>
        <w:t xml:space="preserve">. </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rFonts w:ascii="Arial" w:hAnsi="Arial" w:cs="Arial"/>
          <w:i/>
          <w:i/>
        </w:rPr>
      </w:pPr>
      <w:r>
        <w:rPr>
          <w:rFonts w:cs="Arial" w:ascii="Arial" w:hAnsi="Arial"/>
          <w:bCs/>
          <w:i/>
        </w:rPr>
        <w:t>Manutenzione ordinaria</w:t>
      </w:r>
      <w:r>
        <w:rPr>
          <w:rFonts w:cs="Arial" w:ascii="Arial" w:hAnsi="Arial"/>
          <w:i/>
        </w:rPr>
        <w:t xml:space="preserve"> e </w:t>
      </w:r>
      <w:r>
        <w:rPr>
          <w:rFonts w:cs="Arial" w:ascii="Arial" w:hAnsi="Arial"/>
          <w:bCs/>
          <w:i/>
        </w:rPr>
        <w:t>manutenzione straordinaria</w:t>
      </w:r>
      <w:r>
        <w:rPr>
          <w:rStyle w:val="FootnoteCharacters"/>
          <w:rFonts w:cs="Arial" w:ascii="Arial" w:hAnsi="Arial"/>
          <w:i/>
        </w:rPr>
        <w:t xml:space="preserve"> </w:t>
      </w:r>
      <w:r>
        <w:rPr>
          <w:rFonts w:cs="Arial" w:ascii="Arial" w:hAnsi="Arial"/>
          <w:bCs/>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Revisione impianti (con manutenzione straordinaria)</w:t>
      </w:r>
      <w:r>
        <w:rPr>
          <w:rStyle w:val="FootnoteCharacters"/>
          <w:rFonts w:cs="Arial" w:ascii="Arial" w:hAnsi="Arial"/>
          <w:i/>
        </w:rPr>
        <w:t xml:space="preserve"> </w:t>
      </w:r>
      <w:r>
        <w:rPr>
          <w:rFonts w:cs="Arial" w:ascii="Arial" w:hAnsi="Arial"/>
          <w:i/>
        </w:rPr>
        <w:t>.</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i/>
        </w:rPr>
        <w:t>Opere interne alle costruzioni (come sopra).</w:t>
      </w:r>
    </w:p>
    <w:p>
      <w:pPr>
        <w:pStyle w:val="Nessunaspaziatura"/>
        <w:numPr>
          <w:ilvl w:val="0"/>
          <w:numId w:val="14"/>
        </w:numPr>
        <w:pBdr>
          <w:top w:val="single" w:sz="4" w:space="1" w:color="000000"/>
          <w:left w:val="single" w:sz="4" w:space="1" w:color="000000"/>
          <w:bottom w:val="single" w:sz="4" w:space="1" w:color="000000"/>
          <w:right w:val="single" w:sz="4" w:space="1" w:color="000000"/>
        </w:pBdr>
        <w:spacing w:before="120" w:after="120"/>
        <w:ind w:left="360" w:right="-1" w:hanging="360"/>
        <w:jc w:val="both"/>
        <w:rPr/>
      </w:pPr>
      <w:r>
        <w:rPr>
          <w:rFonts w:cs="Arial" w:ascii="Arial" w:hAnsi="Arial"/>
          <w:bCs/>
          <w:i/>
        </w:rPr>
        <w:t>Consolidamento statico - Restauro e risanamento conservativo.</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A condizione che non alterino lo stato dei luoghi e l’aspetto esteriore degli edifici, </w:t>
      </w:r>
      <w:r>
        <w:rPr>
          <w:rFonts w:cs="Arial" w:ascii="Arial" w:hAnsi="Arial"/>
          <w:i/>
          <w:sz w:val="20"/>
          <w:szCs w:val="20"/>
        </w:rPr>
        <w:t>(prospetto),</w:t>
      </w:r>
      <w:r>
        <w:rPr>
          <w:rFonts w:cs="Arial" w:ascii="Arial" w:hAnsi="Arial"/>
          <w:sz w:val="20"/>
          <w:szCs w:val="20"/>
        </w:rPr>
        <w:t xml:space="preserve"> nonché per l’esercizio dell’attività agro – silvo - pastorale che non comporti alterazione permanente allo stato dei luoghi, per costruzioni edilizie o altre operi civili.</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Ovviamente questi lavori, </w:t>
      </w:r>
      <w:r>
        <w:rPr>
          <w:rFonts w:cs="Arial" w:ascii="Arial" w:hAnsi="Arial"/>
          <w:i/>
          <w:sz w:val="20"/>
          <w:szCs w:val="20"/>
        </w:rPr>
        <w:t>(esclusa la manutenzione ordinaria, se non diversamente previsto dagli strumenti urbanistici),</w:t>
      </w:r>
      <w:r>
        <w:rPr>
          <w:rFonts w:cs="Arial" w:ascii="Arial" w:hAnsi="Arial"/>
          <w:sz w:val="20"/>
          <w:szCs w:val="20"/>
        </w:rPr>
        <w:t xml:space="preserve"> sono soggetti a specifica </w:t>
      </w:r>
      <w:r>
        <w:rPr>
          <w:rFonts w:cs="Arial" w:ascii="Arial" w:hAnsi="Arial"/>
          <w:b/>
          <w:i/>
          <w:sz w:val="20"/>
          <w:szCs w:val="20"/>
        </w:rPr>
        <w:t xml:space="preserve">licenza edilizia, </w:t>
      </w:r>
      <w:r>
        <w:rPr>
          <w:rFonts w:cs="Arial" w:ascii="Arial" w:hAnsi="Arial"/>
          <w:sz w:val="20"/>
          <w:szCs w:val="20"/>
        </w:rPr>
        <w:t>secondo la disciplina vigente</w:t>
      </w:r>
      <w:r>
        <w:rPr>
          <w:rFonts w:cs="Arial" w:ascii="Arial" w:hAnsi="Arial"/>
          <w:i/>
          <w:sz w:val="20"/>
          <w:szCs w:val="20"/>
        </w:rPr>
        <w:t xml:space="preserve"> (CILA</w:t>
      </w:r>
      <w:r>
        <w:rPr>
          <w:rStyle w:val="FootnoteCharacters"/>
          <w:rFonts w:cs="Arial" w:ascii="Arial" w:hAnsi="Arial"/>
          <w:i/>
          <w:sz w:val="20"/>
          <w:szCs w:val="20"/>
        </w:rPr>
        <w:t xml:space="preserve"> </w:t>
      </w:r>
      <w:r>
        <w:rPr>
          <w:rFonts w:cs="Arial" w:ascii="Arial" w:hAnsi="Arial"/>
          <w:i/>
          <w:sz w:val="20"/>
          <w:szCs w:val="20"/>
        </w:rPr>
        <w:t>/SCIA normale).</w:t>
      </w:r>
    </w:p>
    <w:p>
      <w:pPr>
        <w:pStyle w:val="Normal"/>
        <w:numPr>
          <w:ilvl w:val="0"/>
          <w:numId w:val="0"/>
        </w:numPr>
        <w:pBdr>
          <w:top w:val="single" w:sz="4" w:space="1" w:color="000000"/>
          <w:left w:val="single" w:sz="4" w:space="1" w:color="000000"/>
          <w:bottom w:val="single" w:sz="4" w:space="1" w:color="000000"/>
          <w:right w:val="single" w:sz="4" w:space="1" w:color="000000"/>
        </w:pBdr>
        <w:spacing w:before="120" w:after="120"/>
        <w:ind w:left="0" w:right="-1" w:hanging="0"/>
        <w:jc w:val="both"/>
        <w:rPr>
          <w:rFonts w:ascii="Arial" w:hAnsi="Arial" w:cs="Arial"/>
          <w:sz w:val="20"/>
          <w:szCs w:val="20"/>
        </w:rPr>
      </w:pPr>
      <w:r>
        <w:rPr>
          <w:rFonts w:cs="Arial" w:ascii="Arial" w:hAnsi="Arial"/>
          <w:sz w:val="20"/>
          <w:szCs w:val="20"/>
        </w:rPr>
        <w:t xml:space="preserve">Non è richiesta inoltre </w:t>
      </w:r>
      <w:r>
        <w:rPr>
          <w:rFonts w:cs="Arial" w:ascii="Arial" w:hAnsi="Arial"/>
          <w:i/>
          <w:sz w:val="20"/>
          <w:szCs w:val="20"/>
        </w:rPr>
        <w:t>l’autorizzazione</w:t>
      </w:r>
      <w:r>
        <w:rPr>
          <w:rFonts w:cs="Arial" w:ascii="Arial" w:hAnsi="Arial"/>
          <w:sz w:val="20"/>
          <w:szCs w:val="20"/>
        </w:rPr>
        <w:t xml:space="preserve"> paesaggistica per </w:t>
      </w:r>
      <w:r>
        <w:rPr>
          <w:rFonts w:cs="Arial" w:ascii="Arial" w:hAnsi="Arial"/>
          <w:i/>
          <w:sz w:val="20"/>
          <w:szCs w:val="20"/>
        </w:rPr>
        <w:t>il taglio colturale, la forestazione, la riforestazione, le opere di bonifica, antincendio e di conservazione da eseguirsi nei boschi e nelle foreste.</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b/>
          <w:b/>
          <w:i/>
          <w:i/>
        </w:rPr>
      </w:pPr>
      <w:r>
        <w:rPr>
          <w:rFonts w:cs="Arial" w:ascii="Arial" w:hAnsi="Arial"/>
          <w:b/>
          <w:i/>
        </w:rPr>
        <w:t>Modifica impianti elettronici e radioelettrici</w:t>
      </w:r>
    </w:p>
    <w:p>
      <w:pPr>
        <w:pStyle w:val="Nessunaspaziatura"/>
        <w:pBdr>
          <w:top w:val="single" w:sz="4" w:space="1" w:color="000000"/>
          <w:left w:val="single" w:sz="4" w:space="1" w:color="000000"/>
          <w:bottom w:val="single" w:sz="4" w:space="1" w:color="000000"/>
          <w:right w:val="single" w:sz="4" w:space="1" w:color="000000"/>
        </w:pBdr>
        <w:spacing w:before="120" w:after="120"/>
        <w:ind w:right="-1" w:hanging="0"/>
        <w:jc w:val="both"/>
        <w:rPr>
          <w:rFonts w:ascii="Arial" w:hAnsi="Arial" w:cs="Arial"/>
          <w:i/>
          <w:i/>
        </w:rPr>
      </w:pPr>
      <w:r>
        <w:rPr>
          <w:rFonts w:cs="Arial" w:ascii="Arial" w:hAnsi="Arial"/>
          <w:i/>
        </w:rPr>
        <w:t>Non sono soggette ad autorizzazione paesaggistica l’installazione o la modifica di impianti delle reti di comunicazione elettronica o di impianti radioelettrici, da eseguire su edifici e tralicci preesistenti, che comportino la realizzazione di pali di supporto per antenne di altezza non superiore a 1,5 metri e superficie delle medesime antenne non superiore a 0,5 metri quadrati.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 xml:space="preserve">Assenza di autorizzazione paesaggistica </w:t>
      </w:r>
      <w:r>
        <w:rPr>
          <w:rFonts w:cs="Arial" w:ascii="Arial" w:hAnsi="Arial"/>
          <w:b/>
          <w:i/>
          <w:sz w:val="20"/>
          <w:szCs w:val="20"/>
          <w:u w:val="single"/>
        </w:rPr>
        <w:t>ordinaria</w:t>
      </w:r>
      <w:r>
        <w:rPr>
          <w:rFonts w:cs="Arial" w:ascii="Arial" w:hAnsi="Arial"/>
          <w:b/>
          <w:i/>
          <w:sz w:val="20"/>
          <w:szCs w:val="20"/>
        </w:rPr>
        <w:t xml:space="preserve"> per opere </w:t>
      </w:r>
      <w:r>
        <w:rPr>
          <w:rFonts w:cs="Arial" w:ascii="Arial" w:hAnsi="Arial"/>
          <w:b/>
          <w:i/>
          <w:sz w:val="20"/>
          <w:szCs w:val="20"/>
          <w:u w:val="single"/>
        </w:rPr>
        <w:t>NON minori</w:t>
      </w:r>
    </w:p>
    <w:p>
      <w:pPr>
        <w:pStyle w:val="Normal"/>
        <w:shd w:fill="F2F2F2" w:val="clear"/>
        <w:spacing w:before="120" w:after="120"/>
        <w:ind w:right="-1" w:hanging="0"/>
        <w:jc w:val="both"/>
        <w:rPr>
          <w:rFonts w:ascii="Arial" w:hAnsi="Arial" w:cs="Arial"/>
          <w:b/>
          <w:b/>
          <w:i/>
          <w:i/>
          <w:sz w:val="20"/>
          <w:szCs w:val="20"/>
        </w:rPr>
      </w:pPr>
      <w:r>
        <w:rPr>
          <w:rFonts w:cs="Arial" w:ascii="Arial" w:hAnsi="Arial"/>
          <w:b/>
          <w:i/>
          <w:sz w:val="20"/>
          <w:szCs w:val="20"/>
        </w:rPr>
        <w:t>REATI EDILIZI PAESAGGISTICI</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Style w:val="FootnoteCharacters"/>
          <w:rFonts w:cs="Arial" w:ascii="Arial" w:hAnsi="Arial"/>
          <w:i/>
          <w:sz w:val="20"/>
          <w:szCs w:val="20"/>
        </w:rPr>
        <w:t xml:space="preserve"> </w:t>
      </w:r>
      <w:r>
        <w:rPr>
          <w:rFonts w:cs="Arial" w:ascii="Arial" w:hAnsi="Arial"/>
          <w:b/>
          <w:bCs/>
          <w:i/>
          <w:sz w:val="20"/>
          <w:szCs w:val="20"/>
        </w:rPr>
        <w:t xml:space="preserve">, che </w:t>
      </w:r>
      <w:r>
        <w:rPr>
          <w:rFonts w:cs="Arial" w:ascii="Arial" w:hAnsi="Arial"/>
          <w:b/>
          <w:bCs/>
          <w:i/>
          <w:caps/>
          <w:sz w:val="20"/>
          <w:szCs w:val="20"/>
        </w:rPr>
        <w:t>superano</w:t>
      </w:r>
      <w:r>
        <w:rPr>
          <w:rFonts w:cs="Arial" w:ascii="Arial" w:hAnsi="Arial"/>
          <w:b/>
          <w:bCs/>
          <w:i/>
          <w:sz w:val="20"/>
          <w:szCs w:val="20"/>
        </w:rPr>
        <w:t xml:space="preserve"> i parametri di cui </w:t>
      </w:r>
      <w:r>
        <w:rPr>
          <w:rFonts w:cs="Arial" w:ascii="Arial" w:hAnsi="Arial"/>
          <w:b/>
          <w:bCs/>
          <w:i/>
          <w:sz w:val="20"/>
          <w:szCs w:val="20"/>
          <w:u w:val="single"/>
        </w:rPr>
        <w:t>all’art. 181 c. 1bis, lett. ”b” del D. Lgs. n. 42/2001</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sz w:val="20"/>
          <w:szCs w:val="20"/>
        </w:rPr>
        <w:t xml:space="preserve">Se i lavori e le opere devono essere realizzati sugli immobili o all’interno delle aree protette, è necessario ottenere, come visto, </w:t>
      </w:r>
      <w:r>
        <w:rPr>
          <w:rFonts w:cs="Arial" w:ascii="Arial" w:hAnsi="Arial"/>
          <w:i/>
          <w:sz w:val="20"/>
          <w:szCs w:val="20"/>
        </w:rPr>
        <w:t>“l’autorizzazione ordinaria ed avere il relativo titolo abilitante.</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4"/>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superiore</w:t>
      </w:r>
      <w:r>
        <w:rPr>
          <w:rFonts w:cs="Arial" w:ascii="Arial" w:hAnsi="Arial"/>
          <w:i/>
          <w:sz w:val="20"/>
          <w:szCs w:val="20"/>
        </w:rPr>
        <w:t xml:space="preserve"> </w:t>
      </w:r>
      <w:r>
        <w:rPr>
          <w:rFonts w:cs="Arial" w:ascii="Arial" w:hAnsi="Arial"/>
          <w:bCs/>
          <w:i/>
          <w:sz w:val="20"/>
          <w:szCs w:val="20"/>
          <w:u w:val="single"/>
        </w:rPr>
        <w:t xml:space="preserve">al trenta per cento </w:t>
      </w:r>
      <w:r>
        <w:rPr>
          <w:rFonts w:cs="Arial" w:ascii="Arial" w:hAnsi="Arial"/>
          <w:i/>
          <w:sz w:val="20"/>
          <w:szCs w:val="20"/>
        </w:rPr>
        <w:t>della costruzione originaria.</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superiore</w:t>
      </w:r>
      <w:r>
        <w:rPr>
          <w:rFonts w:cs="Arial" w:ascii="Arial" w:hAnsi="Arial"/>
          <w:i/>
          <w:sz w:val="20"/>
          <w:szCs w:val="20"/>
        </w:rPr>
        <w:t xml:space="preserve"> a </w:t>
      </w:r>
      <w:r>
        <w:rPr>
          <w:rFonts w:cs="Arial" w:ascii="Arial" w:hAnsi="Arial"/>
          <w:bCs/>
          <w:i/>
          <w:sz w:val="20"/>
          <w:szCs w:val="20"/>
          <w:u w:val="single"/>
        </w:rPr>
        <w:t>settecentocinquanta metri cubi</w:t>
      </w:r>
      <w:r>
        <w:rPr>
          <w:rFonts w:cs="Arial" w:ascii="Arial" w:hAnsi="Arial"/>
          <w:bCs/>
          <w:i/>
          <w:sz w:val="20"/>
          <w:szCs w:val="20"/>
        </w:rPr>
        <w:t>.</w:t>
      </w:r>
    </w:p>
    <w:p>
      <w:pPr>
        <w:pStyle w:val="Normal"/>
        <w:numPr>
          <w:ilvl w:val="0"/>
          <w:numId w:val="4"/>
        </w:numPr>
        <w:suppressAutoHyphens w:val="false"/>
        <w:spacing w:before="120" w:after="120"/>
        <w:ind w:left="723" w:right="-1" w:hanging="360"/>
        <w:jc w:val="both"/>
        <w:textAlignment w:val="auto"/>
        <w:rPr>
          <w:rFonts w:ascii="Arial" w:hAnsi="Arial" w:cs="Arial"/>
          <w:bCs/>
          <w:i/>
          <w:i/>
          <w:sz w:val="20"/>
          <w:szCs w:val="20"/>
        </w:rPr>
      </w:pPr>
      <w:r>
        <w:rPr>
          <w:rFonts w:cs="Arial" w:ascii="Arial" w:hAnsi="Arial"/>
          <w:bCs/>
          <w:i/>
          <w:sz w:val="20"/>
          <w:szCs w:val="20"/>
        </w:rPr>
        <w:t xml:space="preserve">Una nuova costruzione con una volumetria </w:t>
      </w:r>
      <w:r>
        <w:rPr>
          <w:rFonts w:cs="Arial" w:ascii="Arial" w:hAnsi="Arial"/>
          <w:b/>
          <w:i/>
          <w:sz w:val="20"/>
          <w:szCs w:val="20"/>
          <w:u w:val="single"/>
        </w:rPr>
        <w:t>superiore</w:t>
      </w:r>
      <w:r>
        <w:rPr>
          <w:rFonts w:cs="Arial" w:ascii="Arial" w:hAnsi="Arial"/>
          <w:bCs/>
          <w:i/>
          <w:sz w:val="20"/>
          <w:szCs w:val="20"/>
        </w:rPr>
        <w:t xml:space="preserve"> ai </w:t>
      </w:r>
      <w:r>
        <w:rPr>
          <w:rFonts w:cs="Arial" w:ascii="Arial" w:hAnsi="Arial"/>
          <w:bCs/>
          <w:i/>
          <w:sz w:val="20"/>
          <w:szCs w:val="20"/>
          <w:u w:val="single"/>
        </w:rPr>
        <w:t>mille metri cubi</w:t>
      </w:r>
      <w:r>
        <w:rPr>
          <w:rFonts w:cs="Arial" w:ascii="Arial" w:hAnsi="Arial"/>
          <w:bCs/>
          <w:i/>
          <w:sz w:val="20"/>
          <w:szCs w:val="20"/>
        </w:rPr>
        <w:t>.</w:t>
      </w:r>
      <w:r>
        <w:rPr>
          <w:rFonts w:cs="Verdana" w:ascii="Verdana" w:hAnsi="Verdana"/>
          <w:i/>
          <w:sz w:val="12"/>
          <w:szCs w:val="16"/>
        </w:rPr>
        <w:t xml:space="preserve"> </w:t>
      </w:r>
    </w:p>
    <w:p>
      <w:pPr>
        <w:pStyle w:val="Normal"/>
        <w:spacing w:before="120" w:after="120"/>
        <w:ind w:right="-1" w:hanging="0"/>
        <w:jc w:val="both"/>
        <w:rPr>
          <w:rFonts w:ascii="Verdana" w:hAnsi="Verdana" w:cs="Verdana"/>
          <w:i/>
          <w:i/>
          <w:sz w:val="12"/>
          <w:szCs w:val="16"/>
        </w:rPr>
      </w:pPr>
      <w:r>
        <w:rPr>
          <w:rFonts w:cs="Arial" w:ascii="Arial" w:hAnsi="Arial"/>
          <w:i/>
          <w:sz w:val="18"/>
          <w:szCs w:val="18"/>
        </w:rPr>
        <w:t>(</w:t>
      </w:r>
      <w:r>
        <w:rPr>
          <w:rFonts w:cs="Arial" w:ascii="Arial" w:hAnsi="Arial"/>
          <w:b/>
          <w:i/>
          <w:sz w:val="18"/>
          <w:szCs w:val="18"/>
        </w:rPr>
        <w:t>Reato più grave in materia edilizia.</w:t>
      </w:r>
      <w:r>
        <w:rPr>
          <w:rFonts w:cs="Arial" w:ascii="Arial" w:hAnsi="Arial"/>
          <w:i/>
          <w:sz w:val="18"/>
          <w:szCs w:val="18"/>
        </w:rPr>
        <w:t xml:space="preserve">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1/bis lett. “b”</w:t>
      </w:r>
      <w:r>
        <w:rPr>
          <w:rFonts w:cs="Arial" w:ascii="Arial" w:hAnsi="Arial"/>
          <w:i/>
          <w:sz w:val="18"/>
          <w:szCs w:val="18"/>
          <w:lang w:val="en-US"/>
        </w:rPr>
        <w:t xml:space="preserve"> D. Lgs. n. 42/04.</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p>
    <w:p>
      <w:pPr>
        <w:pStyle w:val="Normal"/>
        <w:numPr>
          <w:ilvl w:val="0"/>
          <w:numId w:val="23"/>
        </w:numPr>
        <w:spacing w:before="120" w:after="120"/>
        <w:ind w:left="360" w:right="-1" w:hanging="360"/>
        <w:jc w:val="both"/>
        <w:rPr>
          <w:rFonts w:ascii="Arial" w:hAnsi="Arial" w:cs="Arial"/>
          <w:b/>
          <w:b/>
          <w:i/>
          <w:i/>
          <w:sz w:val="20"/>
          <w:szCs w:val="20"/>
        </w:rPr>
      </w:pPr>
      <w:r>
        <w:rPr>
          <w:rFonts w:cs="Arial" w:ascii="Arial" w:hAnsi="Arial"/>
          <w:b/>
          <w:i/>
          <w:sz w:val="20"/>
          <w:szCs w:val="20"/>
        </w:rPr>
        <w:t>Lavori eseguiti su immobili e aree poste in zone vincolate</w:t>
      </w:r>
      <w:r>
        <w:rPr>
          <w:rFonts w:cs="Arial" w:ascii="Arial" w:hAnsi="Arial"/>
          <w:b/>
          <w:bCs/>
          <w:i/>
          <w:sz w:val="20"/>
          <w:szCs w:val="20"/>
        </w:rPr>
        <w:t xml:space="preserve"> soggetti a «Permesso di costruire/SCIA </w:t>
      </w:r>
      <w:r>
        <w:rPr>
          <w:rFonts w:cs="Arial" w:ascii="Arial" w:hAnsi="Arial"/>
          <w:bCs/>
          <w:i/>
          <w:sz w:val="20"/>
          <w:szCs w:val="20"/>
        </w:rPr>
        <w:t>alternativa</w:t>
      </w:r>
      <w:r>
        <w:rPr>
          <w:rFonts w:cs="Arial" w:ascii="Arial" w:hAnsi="Arial"/>
          <w:b/>
          <w:bCs/>
          <w:i/>
          <w:sz w:val="20"/>
          <w:szCs w:val="20"/>
        </w:rPr>
        <w:t xml:space="preserve"> super»</w:t>
      </w:r>
      <w:r>
        <w:rPr>
          <w:rFonts w:cs="Arial" w:ascii="Arial" w:hAnsi="Arial"/>
          <w:bCs/>
          <w:i/>
          <w:sz w:val="20"/>
          <w:szCs w:val="20"/>
        </w:rPr>
        <w:t xml:space="preserve"> </w:t>
      </w:r>
      <w:r>
        <w:rPr>
          <w:rFonts w:cs="Arial" w:ascii="Arial" w:hAnsi="Arial"/>
          <w:b/>
          <w:bCs/>
          <w:i/>
          <w:sz w:val="20"/>
          <w:szCs w:val="20"/>
        </w:rPr>
        <w:t xml:space="preserve">che </w:t>
      </w:r>
      <w:r>
        <w:rPr>
          <w:rFonts w:cs="Arial" w:ascii="Arial" w:hAnsi="Arial"/>
          <w:b/>
          <w:bCs/>
          <w:i/>
          <w:caps/>
          <w:sz w:val="20"/>
          <w:szCs w:val="20"/>
          <w:u w:val="single"/>
        </w:rPr>
        <w:t>non</w:t>
      </w:r>
      <w:r>
        <w:rPr>
          <w:rFonts w:cs="Arial" w:ascii="Arial" w:hAnsi="Arial"/>
          <w:b/>
          <w:bCs/>
          <w:i/>
          <w:sz w:val="20"/>
          <w:szCs w:val="20"/>
          <w:u w:val="single"/>
        </w:rPr>
        <w:t xml:space="preserve"> </w:t>
      </w:r>
      <w:r>
        <w:rPr>
          <w:rFonts w:cs="Arial" w:ascii="Arial" w:hAnsi="Arial"/>
          <w:b/>
          <w:bCs/>
          <w:i/>
          <w:caps/>
          <w:sz w:val="20"/>
          <w:szCs w:val="20"/>
          <w:u w:val="single"/>
        </w:rPr>
        <w:t>superano</w:t>
      </w:r>
      <w:r>
        <w:rPr>
          <w:rFonts w:cs="Arial" w:ascii="Arial" w:hAnsi="Arial"/>
          <w:b/>
          <w:bCs/>
          <w:i/>
          <w:sz w:val="20"/>
          <w:szCs w:val="20"/>
        </w:rPr>
        <w:t xml:space="preserve"> i parametri di cui </w:t>
      </w:r>
      <w:r>
        <w:rPr>
          <w:rFonts w:cs="Arial" w:ascii="Arial" w:hAnsi="Arial"/>
          <w:b/>
          <w:bCs/>
          <w:i/>
          <w:sz w:val="20"/>
          <w:szCs w:val="20"/>
          <w:u w:val="single"/>
        </w:rPr>
        <w:t>all’art. 181 1bis, lett.” b” del D. Lgs. n. 42/2001</w:t>
      </w:r>
    </w:p>
    <w:p>
      <w:pPr>
        <w:pStyle w:val="Normal"/>
        <w:tabs>
          <w:tab w:val="left" w:pos="7797" w:leader="none"/>
        </w:tabs>
        <w:spacing w:before="120" w:after="120"/>
        <w:ind w:right="-1" w:firstLine="426"/>
        <w:jc w:val="both"/>
        <w:rPr>
          <w:rFonts w:ascii="Arial" w:hAnsi="Arial" w:cs="Arial"/>
          <w:i/>
          <w:i/>
          <w:sz w:val="20"/>
          <w:szCs w:val="20"/>
        </w:rPr>
      </w:pPr>
      <w:r>
        <w:rPr>
          <w:rFonts w:cs="Arial" w:ascii="Arial" w:hAnsi="Arial"/>
          <w:i/>
          <w:sz w:val="20"/>
          <w:szCs w:val="20"/>
        </w:rPr>
        <w:t>In caso d’abuso, e nell’ipotesi che gli immobili realizzati in aree tutelate per legge ai sensi dell’articolo 142 D. Lgs. n. 42/04, abbia comportato:</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dei manufatti </w:t>
      </w:r>
      <w:r>
        <w:rPr>
          <w:rFonts w:cs="Arial" w:ascii="Arial" w:hAnsi="Arial"/>
          <w:b/>
          <w:bCs/>
          <w:i/>
          <w:sz w:val="20"/>
          <w:szCs w:val="20"/>
          <w:u w:val="single"/>
        </w:rPr>
        <w:t>inferiore</w:t>
      </w:r>
      <w:r>
        <w:rPr>
          <w:rFonts w:cs="Arial" w:ascii="Arial" w:hAnsi="Arial"/>
          <w:i/>
          <w:sz w:val="20"/>
          <w:szCs w:val="20"/>
        </w:rPr>
        <w:t xml:space="preserve"> al </w:t>
      </w:r>
      <w:r>
        <w:rPr>
          <w:rFonts w:cs="Arial" w:ascii="Arial" w:hAnsi="Arial"/>
          <w:i/>
          <w:sz w:val="20"/>
          <w:szCs w:val="20"/>
          <w:u w:val="single"/>
        </w:rPr>
        <w:t>trenta per cento</w:t>
      </w:r>
      <w:r>
        <w:rPr>
          <w:rFonts w:cs="Arial" w:ascii="Arial" w:hAnsi="Arial"/>
          <w:i/>
          <w:sz w:val="20"/>
          <w:szCs w:val="20"/>
        </w:rPr>
        <w:t xml:space="preserve"> della costruzione originaria.</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 aumento della volumetria della costruzione originaria o, in alternativa, un ampliamento della medesima </w:t>
      </w:r>
      <w:r>
        <w:rPr>
          <w:rFonts w:cs="Arial" w:ascii="Arial" w:hAnsi="Arial"/>
          <w:b/>
          <w:bCs/>
          <w:i/>
          <w:sz w:val="20"/>
          <w:szCs w:val="20"/>
          <w:u w:val="single"/>
        </w:rPr>
        <w:t>inferiore</w:t>
      </w:r>
      <w:r>
        <w:rPr>
          <w:rFonts w:cs="Arial" w:ascii="Arial" w:hAnsi="Arial"/>
          <w:i/>
          <w:sz w:val="20"/>
          <w:szCs w:val="20"/>
        </w:rPr>
        <w:t xml:space="preserve"> a </w:t>
      </w:r>
      <w:r>
        <w:rPr>
          <w:rFonts w:cs="Arial" w:ascii="Arial" w:hAnsi="Arial"/>
          <w:i/>
          <w:sz w:val="20"/>
          <w:szCs w:val="20"/>
          <w:u w:val="single"/>
        </w:rPr>
        <w:t>settecentocinquanta metri cubi</w:t>
      </w:r>
      <w:r>
        <w:rPr>
          <w:rFonts w:cs="Arial" w:ascii="Arial" w:hAnsi="Arial"/>
          <w:i/>
          <w:sz w:val="20"/>
          <w:szCs w:val="20"/>
        </w:rPr>
        <w:t>.</w:t>
      </w:r>
    </w:p>
    <w:p>
      <w:pPr>
        <w:pStyle w:val="Normal"/>
        <w:numPr>
          <w:ilvl w:val="0"/>
          <w:numId w:val="6"/>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 xml:space="preserve">Una nuova costruzione con una volumetria </w:t>
      </w:r>
      <w:r>
        <w:rPr>
          <w:rFonts w:cs="Arial" w:ascii="Arial" w:hAnsi="Arial"/>
          <w:b/>
          <w:bCs/>
          <w:i/>
          <w:sz w:val="20"/>
          <w:szCs w:val="20"/>
          <w:u w:val="single"/>
        </w:rPr>
        <w:t>inferiore</w:t>
      </w:r>
      <w:r>
        <w:rPr>
          <w:rFonts w:cs="Arial" w:ascii="Arial" w:hAnsi="Arial"/>
          <w:i/>
          <w:sz w:val="20"/>
          <w:szCs w:val="20"/>
        </w:rPr>
        <w:t xml:space="preserve"> ai </w:t>
      </w:r>
      <w:r>
        <w:rPr>
          <w:rFonts w:cs="Arial" w:ascii="Arial" w:hAnsi="Arial"/>
          <w:i/>
          <w:sz w:val="20"/>
          <w:szCs w:val="20"/>
          <w:u w:val="single"/>
        </w:rPr>
        <w:t>mille metri cubi</w:t>
      </w:r>
      <w:r>
        <w:rPr>
          <w:rFonts w:cs="Arial" w:ascii="Arial" w:hAnsi="Arial"/>
          <w:i/>
          <w:sz w:val="20"/>
          <w:szCs w:val="20"/>
        </w:rPr>
        <w:t xml:space="preserve">. </w:t>
      </w:r>
      <w:r>
        <w:rPr>
          <w:rFonts w:cs="Arial" w:ascii="Arial" w:hAnsi="Arial"/>
          <w:i/>
          <w:sz w:val="18"/>
          <w:szCs w:val="18"/>
        </w:rPr>
        <w:t xml:space="preserve">(Anche in questo caso si può verificare il concorso formale di due reati: di condotta </w:t>
      </w:r>
      <w:r>
        <w:rPr>
          <w:rFonts w:cs="Arial" w:ascii="Arial" w:hAnsi="Arial"/>
          <w:i/>
          <w:sz w:val="18"/>
          <w:szCs w:val="18"/>
          <w:lang w:val="en-US"/>
        </w:rPr>
        <w:t xml:space="preserve">(Art. </w:t>
      </w:r>
      <w:r>
        <w:rPr>
          <w:rFonts w:cs="Arial" w:ascii="Arial" w:hAnsi="Arial"/>
          <w:b/>
          <w:i/>
          <w:sz w:val="18"/>
          <w:szCs w:val="18"/>
          <w:lang w:val="en-US"/>
        </w:rPr>
        <w:t>181 c. 1 lett. “b”</w:t>
      </w:r>
      <w:r>
        <w:rPr>
          <w:rFonts w:cs="Arial" w:ascii="Arial" w:hAnsi="Arial"/>
          <w:i/>
          <w:sz w:val="18"/>
          <w:szCs w:val="18"/>
          <w:lang w:val="en-US"/>
        </w:rPr>
        <w:t xml:space="preserve"> D. Lgs. n. 42/04, punito dall’art. </w:t>
      </w:r>
      <w:r>
        <w:rPr>
          <w:rFonts w:cs="Arial" w:ascii="Arial" w:hAnsi="Arial"/>
          <w:b/>
          <w:i/>
          <w:sz w:val="18"/>
          <w:szCs w:val="18"/>
          <w:lang w:val="en-US"/>
        </w:rPr>
        <w:t>44/c</w:t>
      </w:r>
      <w:r>
        <w:rPr>
          <w:rFonts w:cs="Arial" w:ascii="Arial" w:hAnsi="Arial"/>
          <w:i/>
          <w:sz w:val="18"/>
          <w:szCs w:val="18"/>
          <w:lang w:val="en-US"/>
        </w:rPr>
        <w:t xml:space="preserve"> DPR 380/01</w:t>
      </w:r>
      <w:r>
        <w:rPr>
          <w:rFonts w:cs="Arial" w:ascii="Arial" w:hAnsi="Arial"/>
          <w:i/>
          <w:sz w:val="18"/>
          <w:szCs w:val="18"/>
        </w:rPr>
        <w:t xml:space="preserve">, di danno art. </w:t>
      </w:r>
      <w:r>
        <w:rPr>
          <w:rFonts w:cs="Arial" w:ascii="Arial" w:hAnsi="Arial"/>
          <w:b/>
          <w:i/>
          <w:sz w:val="18"/>
          <w:szCs w:val="18"/>
        </w:rPr>
        <w:t>734</w:t>
      </w:r>
      <w:r>
        <w:rPr>
          <w:rFonts w:cs="Arial" w:ascii="Arial" w:hAnsi="Arial"/>
          <w:i/>
          <w:sz w:val="18"/>
          <w:szCs w:val="18"/>
        </w:rPr>
        <w:t xml:space="preserve"> c.p., eventuale</w:t>
      </w:r>
      <w:r>
        <w:rPr>
          <w:rFonts w:cs="Verdana" w:ascii="Verdana" w:hAnsi="Verdana"/>
          <w:i/>
          <w:sz w:val="12"/>
          <w:szCs w:val="16"/>
        </w:rPr>
        <w:t>).</w:t>
      </w:r>
    </w:p>
    <w:p>
      <w:pPr>
        <w:pStyle w:val="Normal"/>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rPr>
        <w:t xml:space="preserve">Competenze del dirigente dello Sportello unico per l’edilizia </w:t>
      </w:r>
      <w:r>
        <w:rPr>
          <w:rFonts w:cs="Arial" w:ascii="Arial" w:hAnsi="Arial"/>
          <w:bCs/>
          <w:i/>
          <w:sz w:val="16"/>
          <w:szCs w:val="16"/>
        </w:rPr>
        <w:t>(in sintesi)</w:t>
      </w:r>
    </w:p>
    <w:p>
      <w:pPr>
        <w:pStyle w:val="Normal"/>
        <w:tabs>
          <w:tab w:val="left" w:pos="7797" w:leader="none"/>
        </w:tabs>
        <w:spacing w:before="120" w:after="120"/>
        <w:ind w:right="-1" w:hanging="0"/>
        <w:jc w:val="both"/>
        <w:rPr>
          <w:rFonts w:ascii="Arial" w:hAnsi="Arial" w:cs="Arial"/>
          <w:i/>
          <w:i/>
          <w:sz w:val="20"/>
          <w:szCs w:val="20"/>
        </w:rPr>
      </w:pPr>
      <w:r>
        <w:rPr>
          <w:rFonts w:cs="Arial" w:ascii="Arial" w:hAnsi="Arial"/>
          <w:b/>
          <w:i/>
          <w:sz w:val="20"/>
          <w:szCs w:val="20"/>
        </w:rPr>
        <w:t xml:space="preserve">Ipotesi d’abuso. </w:t>
      </w:r>
      <w:r>
        <w:rPr>
          <w:rFonts w:cs="Arial" w:ascii="Arial" w:hAnsi="Arial"/>
          <w:i/>
          <w:sz w:val="20"/>
          <w:szCs w:val="20"/>
        </w:rPr>
        <w:t xml:space="preserve">Intervento edilizio soggetto a </w:t>
      </w:r>
      <w:r>
        <w:rPr>
          <w:rFonts w:cs="Arial" w:ascii="Arial" w:hAnsi="Arial"/>
          <w:b/>
          <w:bCs/>
          <w:i/>
          <w:sz w:val="20"/>
          <w:szCs w:val="20"/>
        </w:rPr>
        <w:t xml:space="preserve">«Permesso di costruire/SCIA super» </w:t>
      </w:r>
      <w:r>
        <w:rPr>
          <w:rFonts w:cs="Arial" w:ascii="Arial" w:hAnsi="Arial"/>
          <w:i/>
          <w:sz w:val="20"/>
          <w:szCs w:val="20"/>
        </w:rPr>
        <w:t>realizzato in assenza del titolo abilitativo, in area vincolata ai sensi del D. Lgs. n. 42/2004 (o in difformità).</w:t>
      </w:r>
    </w:p>
    <w:p>
      <w:pPr>
        <w:pStyle w:val="Normal"/>
        <w:tabs>
          <w:tab w:val="left" w:pos="7797" w:leader="none"/>
        </w:tabs>
        <w:suppressAutoHyphens w:val="false"/>
        <w:spacing w:before="120" w:after="120"/>
        <w:ind w:right="-1" w:hanging="0"/>
        <w:jc w:val="both"/>
        <w:textAlignment w:val="auto"/>
        <w:rPr>
          <w:rFonts w:ascii="Arial" w:hAnsi="Arial" w:cs="Arial"/>
          <w:i/>
          <w:i/>
          <w:sz w:val="20"/>
          <w:szCs w:val="20"/>
        </w:rPr>
      </w:pPr>
      <w:r>
        <w:rPr>
          <w:rFonts w:cs="Arial" w:ascii="Arial" w:hAnsi="Arial"/>
          <w:i/>
          <w:sz w:val="20"/>
          <w:szCs w:val="20"/>
        </w:rPr>
        <w:t>Se accerta direttamente l’abuso realizzato in area vincolata:</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lang w:val="en-US" w:eastAsia="en-US"/>
        </w:rPr>
        <w:t>Denuncia</w:t>
      </w:r>
      <w:r>
        <w:rPr>
          <w:rFonts w:cs="Arial" w:ascii="Arial" w:hAnsi="Arial"/>
          <w:i/>
          <w:sz w:val="20"/>
          <w:szCs w:val="20"/>
        </w:rPr>
        <w:t xml:space="preserve"> per iscritto del reato al P.M. o in alternativa ad un ufficiale di polizia giudiziaria, per le sanzioni penali di cui all’art. 181 c.1 D. Lgs. n. 42/2004.</w:t>
      </w:r>
    </w:p>
    <w:p>
      <w:pPr>
        <w:pStyle w:val="Normal"/>
        <w:numPr>
          <w:ilvl w:val="0"/>
          <w:numId w:val="25"/>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 xml:space="preserve">Addotta immediatamente gli interventi repressivi ripristinatori informando la regione titolare del vincolo: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Della sospensione dei lavori.</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 xml:space="preserve">Della demolizione e rimessa in pristino. </w:t>
      </w:r>
    </w:p>
    <w:p>
      <w:pPr>
        <w:pStyle w:val="Normal"/>
        <w:numPr>
          <w:ilvl w:val="0"/>
          <w:numId w:val="12"/>
        </w:numPr>
        <w:tabs>
          <w:tab w:val="left" w:pos="7797" w:leader="none"/>
        </w:tabs>
        <w:suppressAutoHyphens w:val="false"/>
        <w:spacing w:before="120" w:after="120"/>
        <w:ind w:left="720" w:right="-1" w:hanging="360"/>
        <w:jc w:val="both"/>
        <w:textAlignment w:val="auto"/>
        <w:rPr>
          <w:rFonts w:ascii="Arial" w:hAnsi="Arial" w:cs="Arial"/>
          <w:i/>
          <w:i/>
          <w:sz w:val="20"/>
          <w:szCs w:val="20"/>
        </w:rPr>
      </w:pPr>
      <w:r>
        <w:rPr>
          <w:rFonts w:cs="Arial" w:ascii="Arial" w:hAnsi="Arial"/>
          <w:i/>
          <w:sz w:val="20"/>
          <w:szCs w:val="20"/>
        </w:rPr>
        <w:t>Demolizione d’ufficio, in caso d’inottemperanza, a spese dei responsabili dell’abuso, e al ripristino dello stato dei luoghi</w:t>
      </w:r>
      <w:r>
        <w:rPr>
          <w:rStyle w:val="FootnoteCharacters"/>
          <w:rFonts w:cs="Arial" w:ascii="Arial" w:hAnsi="Arial"/>
          <w:i/>
          <w:sz w:val="20"/>
          <w:szCs w:val="20"/>
        </w:rPr>
        <w:t>,</w:t>
      </w:r>
      <w:r>
        <w:rPr>
          <w:rFonts w:cs="Arial" w:ascii="Arial" w:hAnsi="Arial"/>
          <w:i/>
          <w:sz w:val="20"/>
          <w:szCs w:val="20"/>
        </w:rPr>
        <w:t xml:space="preserve"> secondo la procedura di cui </w:t>
      </w:r>
      <w:r>
        <w:rPr>
          <w:rFonts w:cs="Arial" w:ascii="Arial" w:hAnsi="Arial"/>
          <w:i/>
          <w:iCs/>
          <w:sz w:val="20"/>
          <w:szCs w:val="20"/>
        </w:rPr>
        <w:t>all’art. 27 DPR n. 380/01.</w:t>
      </w:r>
    </w:p>
    <w:p>
      <w:pPr>
        <w:pStyle w:val="Nessunaspaziatura"/>
        <w:numPr>
          <w:ilvl w:val="0"/>
          <w:numId w:val="22"/>
        </w:numPr>
        <w:spacing w:before="120" w:after="120"/>
        <w:ind w:left="360" w:right="-1" w:hanging="360"/>
        <w:jc w:val="both"/>
        <w:rPr>
          <w:rFonts w:ascii="Arial" w:hAnsi="Arial" w:cs="Arial"/>
          <w:i/>
          <w:i/>
        </w:rPr>
      </w:pPr>
      <w:r>
        <w:rPr>
          <w:rFonts w:cs="Arial" w:ascii="Arial" w:hAnsi="Arial"/>
          <w:i/>
        </w:rPr>
        <w:t xml:space="preserve">Trasmette </w:t>
      </w:r>
      <w:r>
        <w:rPr>
          <w:rFonts w:cs="Arial" w:ascii="Arial" w:hAnsi="Arial"/>
          <w:i/>
          <w:sz w:val="18"/>
        </w:rPr>
        <w:t xml:space="preserve">(nel caso dell’impossibilità di affidamento dei lavori a un’impresa per la demolizione), </w:t>
      </w:r>
      <w:r>
        <w:rPr>
          <w:rFonts w:cs="Arial" w:ascii="Arial" w:hAnsi="Arial"/>
          <w:i/>
        </w:rPr>
        <w:t xml:space="preserve">l’elenco delle opere abusive, NON SANABILI per le quali i responsabili dell’abuso non hanno ottemperato alla rimessa in pristino, al Prefetto il quale provvede alla demolizione con i mezzi a disposizione della pubblica amministrazione, utilizzando anche l’esercito. </w:t>
      </w:r>
      <w:r>
        <w:rPr>
          <w:rFonts w:cs="Arial" w:ascii="Arial" w:hAnsi="Arial"/>
          <w:i/>
          <w:sz w:val="16"/>
          <w:szCs w:val="16"/>
        </w:rPr>
        <w:t>(</w:t>
      </w:r>
      <w:r>
        <w:rPr>
          <w:rFonts w:cs="Arial" w:ascii="Arial" w:hAnsi="Arial"/>
          <w:i/>
          <w:iCs/>
          <w:sz w:val="16"/>
          <w:szCs w:val="16"/>
        </w:rPr>
        <w:t>Art. 41 DPR n. 380/2001)</w:t>
      </w:r>
    </w:p>
    <w:p>
      <w:pPr>
        <w:pStyle w:val="Normal"/>
        <w:numPr>
          <w:ilvl w:val="0"/>
          <w:numId w:val="22"/>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Informa immediatamente, qualora le opere siano state realizzate da amministrazioni statali:</w:t>
      </w:r>
    </w:p>
    <w:p>
      <w:pPr>
        <w:pStyle w:val="Normal"/>
        <w:numPr>
          <w:ilvl w:val="0"/>
          <w:numId w:val="13"/>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il Presidente della giunta regionale;</w:t>
      </w:r>
    </w:p>
    <w:p>
      <w:pPr>
        <w:pStyle w:val="Normal"/>
        <w:numPr>
          <w:ilvl w:val="0"/>
          <w:numId w:val="5"/>
        </w:numPr>
        <w:suppressAutoHyphens w:val="false"/>
        <w:spacing w:before="120" w:after="120"/>
        <w:ind w:left="723" w:right="-1" w:hanging="360"/>
        <w:jc w:val="both"/>
        <w:textAlignment w:val="auto"/>
        <w:rPr/>
      </w:pPr>
      <w:r>
        <w:rPr>
          <w:rFonts w:cs="Arial" w:ascii="Arial" w:hAnsi="Arial"/>
          <w:i/>
          <w:sz w:val="20"/>
          <w:szCs w:val="20"/>
        </w:rPr>
        <w:t>il Ministero delle infrastrutture e dei trasporti</w:t>
      </w:r>
      <w:r>
        <w:rPr>
          <w:rStyle w:val="FootnoteCharacters"/>
          <w:rFonts w:cs="Arial" w:ascii="Arial" w:hAnsi="Arial"/>
          <w:i/>
          <w:sz w:val="20"/>
          <w:szCs w:val="20"/>
        </w:rPr>
        <w:t xml:space="preserve"> </w:t>
      </w:r>
      <w:r>
        <w:rPr>
          <w:rFonts w:cs="Arial" w:ascii="Arial" w:hAnsi="Arial"/>
          <w:i/>
          <w:sz w:val="20"/>
          <w:szCs w:val="20"/>
        </w:rPr>
        <w:t>.</w:t>
      </w:r>
    </w:p>
    <w:p>
      <w:pPr>
        <w:pStyle w:val="Normal"/>
        <w:numPr>
          <w:ilvl w:val="0"/>
          <w:numId w:val="9"/>
        </w:numPr>
        <w:shd w:fill="FFFFFF" w:val="clear"/>
        <w:tabs>
          <w:tab w:val="left" w:pos="7740" w:leader="none"/>
          <w:tab w:val="left" w:pos="7797" w:leader="none"/>
        </w:tabs>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Responsabili: il committente, il costruttore e il direttore dei lavori (in caso di difformità, il titolare del titolo, se soggetto diverso).</w:t>
      </w:r>
    </w:p>
    <w:p>
      <w:pPr>
        <w:pStyle w:val="Normal"/>
        <w:keepNext w:val="true"/>
        <w:keepLines/>
        <w:tabs>
          <w:tab w:val="left" w:pos="7797" w:leader="none"/>
        </w:tabs>
        <w:spacing w:before="120" w:after="120"/>
        <w:ind w:right="-1" w:hanging="0"/>
        <w:jc w:val="both"/>
        <w:rPr>
          <w:rFonts w:ascii="Arial" w:hAnsi="Arial" w:cs="Arial"/>
          <w:b/>
          <w:b/>
          <w:i/>
          <w:i/>
          <w:sz w:val="20"/>
          <w:szCs w:val="20"/>
        </w:rPr>
      </w:pPr>
      <w:r>
        <w:rPr>
          <w:rFonts w:cs="Arial" w:ascii="Arial" w:hAnsi="Arial"/>
          <w:b/>
          <w:i/>
          <w:sz w:val="20"/>
          <w:szCs w:val="20"/>
          <w:u w:val="single"/>
        </w:rPr>
        <w:t>Compatibilità paesaggistica</w:t>
      </w:r>
      <w:r>
        <w:rPr>
          <w:rFonts w:cs="Arial" w:ascii="Arial" w:hAnsi="Arial"/>
          <w:b/>
          <w:i/>
          <w:sz w:val="20"/>
          <w:szCs w:val="20"/>
        </w:rPr>
        <w:t xml:space="preserve"> e </w:t>
      </w:r>
      <w:r>
        <w:rPr>
          <w:rFonts w:cs="Arial" w:ascii="Arial" w:hAnsi="Arial"/>
          <w:b/>
          <w:i/>
          <w:sz w:val="20"/>
          <w:szCs w:val="20"/>
          <w:u w:val="single"/>
        </w:rPr>
        <w:t>autorizzazione in sanatoria</w:t>
      </w:r>
      <w:r>
        <w:rPr>
          <w:rFonts w:cs="Arial" w:ascii="Arial" w:hAnsi="Arial"/>
          <w:b/>
          <w:i/>
          <w:sz w:val="20"/>
          <w:szCs w:val="20"/>
        </w:rPr>
        <w:t xml:space="preserve"> (Solo per opere minori)</w:t>
      </w:r>
    </w:p>
    <w:p>
      <w:pPr>
        <w:pStyle w:val="Normal"/>
        <w:spacing w:before="120" w:after="120"/>
        <w:ind w:right="-1" w:hanging="0"/>
        <w:jc w:val="both"/>
        <w:rPr>
          <w:rFonts w:ascii="Arial" w:hAnsi="Arial" w:cs="Arial"/>
          <w:i/>
          <w:i/>
          <w:sz w:val="18"/>
          <w:szCs w:val="18"/>
        </w:rPr>
      </w:pPr>
      <w:r>
        <w:rPr>
          <w:rFonts w:cs="Arial" w:ascii="Arial" w:hAnsi="Arial"/>
          <w:sz w:val="20"/>
          <w:szCs w:val="20"/>
        </w:rPr>
        <w:t xml:space="preserve">Non è possibile ottenere la sanatoria per gli abusi realizzati su aree ed immobili soggetti a vincolo, anche parziale degli interventi, </w:t>
      </w:r>
      <w:r>
        <w:rPr>
          <w:rFonts w:cs="Arial" w:ascii="Arial" w:hAnsi="Arial"/>
          <w:i/>
          <w:sz w:val="20"/>
          <w:szCs w:val="20"/>
        </w:rPr>
        <w:t xml:space="preserve">con esclusione dei casi previsti sottonotati. </w:t>
      </w:r>
      <w:r>
        <w:rPr>
          <w:rFonts w:cs="Arial" w:ascii="Arial" w:hAnsi="Arial"/>
          <w:i/>
          <w:sz w:val="18"/>
          <w:szCs w:val="18"/>
        </w:rPr>
        <w:t>(Art. 167 c. 4 e 5. Trattasi di interventi, fuori da quelli esenti indicati dall’art. 149 D. Lgs. n. 42/04 e dal DPR n. 31 del 2017)</w:t>
      </w:r>
    </w:p>
    <w:p>
      <w:pPr>
        <w:pStyle w:val="Normal"/>
        <w:numPr>
          <w:ilvl w:val="0"/>
          <w:numId w:val="0"/>
        </w:numPr>
        <w:tabs>
          <w:tab w:val="left" w:pos="7797" w:leader="none"/>
        </w:tabs>
        <w:spacing w:before="120" w:after="120"/>
        <w:ind w:left="0" w:right="-1" w:hanging="0"/>
        <w:jc w:val="both"/>
        <w:rPr>
          <w:rFonts w:ascii="Arial" w:hAnsi="Arial" w:cs="Arial"/>
          <w:i/>
          <w:i/>
          <w:sz w:val="20"/>
          <w:szCs w:val="20"/>
        </w:rPr>
      </w:pPr>
      <w:r>
        <w:rPr>
          <w:rFonts w:cs="Arial" w:ascii="Arial" w:hAnsi="Arial"/>
          <w:i/>
          <w:sz w:val="20"/>
          <w:szCs w:val="20"/>
        </w:rPr>
        <w:t>Ovvero nel particolare:</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lavori, realizzati in assenza o difformità dall’autorizzazione paesaggistica, che NON abbiano:</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rPr>
        <w:t>Determinato creazione di superfici utili o volumetria.</w:t>
      </w:r>
    </w:p>
    <w:p>
      <w:pPr>
        <w:pStyle w:val="Normal"/>
        <w:numPr>
          <w:ilvl w:val="1"/>
          <w:numId w:val="7"/>
        </w:numPr>
        <w:suppressAutoHyphens w:val="false"/>
        <w:spacing w:before="120" w:after="120"/>
        <w:ind w:left="723" w:right="-1" w:hanging="360"/>
        <w:jc w:val="both"/>
        <w:textAlignment w:val="auto"/>
        <w:rPr>
          <w:rFonts w:ascii="Arial" w:hAnsi="Arial" w:cs="Arial"/>
          <w:i/>
          <w:i/>
          <w:sz w:val="20"/>
          <w:szCs w:val="20"/>
        </w:rPr>
      </w:pPr>
      <w:r>
        <w:rPr>
          <w:rFonts w:cs="Arial" w:ascii="Arial" w:hAnsi="Arial"/>
          <w:i/>
          <w:sz w:val="20"/>
          <w:szCs w:val="20"/>
          <w:lang w:val="en-US" w:eastAsia="en-US"/>
        </w:rPr>
        <w:t>Aumentato</w:t>
      </w:r>
      <w:r>
        <w:rPr>
          <w:rFonts w:cs="Arial" w:ascii="Arial" w:hAnsi="Arial"/>
          <w:i/>
          <w:sz w:val="20"/>
          <w:szCs w:val="20"/>
        </w:rPr>
        <w:t xml:space="preserve"> la superficie e volumetria (oltre a quelli legittimamente realizzati).</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l’impiego di materiali in difformità dall’autorizzazione paesaggistica.</w:t>
      </w:r>
    </w:p>
    <w:p>
      <w:pPr>
        <w:pStyle w:val="Normal"/>
        <w:numPr>
          <w:ilvl w:val="0"/>
          <w:numId w:val="8"/>
        </w:numPr>
        <w:suppressAutoHyphens w:val="false"/>
        <w:spacing w:before="120" w:after="120"/>
        <w:ind w:left="360" w:right="-1" w:hanging="360"/>
        <w:jc w:val="both"/>
        <w:textAlignment w:val="auto"/>
        <w:rPr>
          <w:rFonts w:ascii="Arial" w:hAnsi="Arial" w:cs="Arial"/>
          <w:i/>
          <w:i/>
          <w:sz w:val="20"/>
          <w:szCs w:val="20"/>
        </w:rPr>
      </w:pPr>
      <w:r>
        <w:rPr>
          <w:rFonts w:cs="Arial" w:ascii="Arial" w:hAnsi="Arial"/>
          <w:i/>
          <w:sz w:val="20"/>
          <w:szCs w:val="20"/>
        </w:rPr>
        <w:t>Per i lavori comunque configurabili quali interventi di manutenzione ordinaria o straordinaria</w:t>
      </w:r>
      <w:r>
        <w:rPr>
          <w:rStyle w:val="FootnoteCharacters"/>
          <w:rFonts w:cs="Arial" w:ascii="Arial" w:hAnsi="Arial"/>
          <w:i/>
          <w:sz w:val="20"/>
          <w:szCs w:val="20"/>
        </w:rPr>
        <w:t xml:space="preserve"> </w:t>
      </w:r>
      <w:r>
        <w:rPr>
          <w:rFonts w:cs="Arial" w:ascii="Arial" w:hAnsi="Arial"/>
          <w:i/>
          <w:sz w:val="20"/>
          <w:szCs w:val="20"/>
        </w:rPr>
        <w:t>.</w:t>
      </w:r>
    </w:p>
    <w:p>
      <w:pPr>
        <w:pStyle w:val="Normal"/>
        <w:spacing w:before="120" w:after="120"/>
        <w:ind w:right="-1" w:hanging="0"/>
        <w:jc w:val="both"/>
        <w:rPr>
          <w:rFonts w:ascii="Arial" w:hAnsi="Arial" w:cs="Arial"/>
          <w:i/>
          <w:i/>
          <w:sz w:val="20"/>
          <w:szCs w:val="20"/>
        </w:rPr>
      </w:pPr>
      <w:r>
        <w:rPr>
          <w:rFonts w:cs="Arial" w:ascii="Arial" w:hAnsi="Arial"/>
          <w:sz w:val="20"/>
          <w:szCs w:val="20"/>
        </w:rPr>
        <w:t xml:space="preserve">Il proprietario, possessore o detentore a qualsiasi titolo dell’immobile o dell’area interessata dagli interventi, presenta apposita domanda all’autorità preposta alla gestione del vincolo </w:t>
      </w:r>
      <w:r>
        <w:rPr>
          <w:rFonts w:cs="Arial" w:ascii="Arial" w:hAnsi="Arial"/>
          <w:i/>
          <w:iCs/>
          <w:sz w:val="20"/>
          <w:szCs w:val="20"/>
        </w:rPr>
        <w:t>(Sportello unico per l’edilizia)</w:t>
      </w:r>
      <w:r>
        <w:rPr>
          <w:rFonts w:cs="Arial" w:ascii="Arial" w:hAnsi="Arial"/>
          <w:sz w:val="20"/>
          <w:szCs w:val="20"/>
        </w:rPr>
        <w:t xml:space="preserve"> </w:t>
      </w:r>
      <w:r>
        <w:rPr>
          <w:rFonts w:cs="Arial" w:ascii="Arial" w:hAnsi="Arial"/>
          <w:i/>
          <w:sz w:val="20"/>
          <w:szCs w:val="20"/>
        </w:rPr>
        <w:t xml:space="preserve">ai fini dell’accertamento </w:t>
      </w:r>
      <w:r>
        <w:rPr>
          <w:rFonts w:cs="Arial" w:ascii="Arial" w:hAnsi="Arial"/>
          <w:b/>
          <w:i/>
          <w:sz w:val="20"/>
          <w:szCs w:val="20"/>
        </w:rPr>
        <w:t>della compatibilità paesaggistica</w:t>
      </w:r>
      <w:r>
        <w:rPr>
          <w:rFonts w:cs="Arial" w:ascii="Arial" w:hAnsi="Arial"/>
          <w:i/>
          <w:sz w:val="20"/>
          <w:szCs w:val="20"/>
        </w:rPr>
        <w:t xml:space="preserve"> degli interventi medesimi.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L’autorità competente si pronuncia sulla domanda entro il termine perentorio di centottanta giorni, previo parere vincolante della Soprintendenza da rendersi entro il termine perentorio di novanta giorni. </w:t>
      </w:r>
    </w:p>
    <w:p>
      <w:pPr>
        <w:pStyle w:val="Normal"/>
        <w:spacing w:before="120" w:after="120"/>
        <w:ind w:right="-1" w:hanging="0"/>
        <w:jc w:val="both"/>
        <w:rPr>
          <w:rFonts w:ascii="Arial" w:hAnsi="Arial" w:cs="Arial"/>
          <w:sz w:val="20"/>
          <w:szCs w:val="20"/>
        </w:rPr>
      </w:pPr>
      <w:r>
        <w:rPr>
          <w:rFonts w:cs="Arial" w:ascii="Arial" w:hAnsi="Arial"/>
          <w:sz w:val="20"/>
          <w:szCs w:val="20"/>
        </w:rPr>
        <w:t xml:space="preserve">Qualora sia accertata </w:t>
      </w:r>
      <w:r>
        <w:rPr>
          <w:rFonts w:cs="Arial" w:ascii="Arial" w:hAnsi="Arial"/>
          <w:b/>
          <w:i/>
          <w:sz w:val="20"/>
          <w:szCs w:val="20"/>
        </w:rPr>
        <w:t>la compatibilità paesaggistica,</w:t>
      </w:r>
      <w:r>
        <w:rPr>
          <w:rFonts w:cs="Arial" w:ascii="Arial" w:hAnsi="Arial"/>
          <w:sz w:val="20"/>
          <w:szCs w:val="20"/>
        </w:rPr>
        <w:t xml:space="preserve"> il trasgressore è tenuto al pagamento di una somma equivalente al maggiore importo tra il danno arrecato e il profitto conseguito mediante la trasgressione. L’importo della sanzione pecuniaria è determinato previa perizia di stima. </w:t>
      </w:r>
      <w:r>
        <w:rPr>
          <w:rFonts w:cs="Arial" w:ascii="Arial" w:hAnsi="Arial"/>
          <w:sz w:val="18"/>
          <w:szCs w:val="18"/>
        </w:rPr>
        <w:t>(</w:t>
      </w:r>
      <w:r>
        <w:rPr>
          <w:rFonts w:cs="Arial" w:ascii="Arial" w:hAnsi="Arial"/>
          <w:i/>
          <w:sz w:val="18"/>
          <w:szCs w:val="18"/>
        </w:rPr>
        <w:t>Il rilascio della compatibilità paesaggistica estingue il reato).</w:t>
      </w:r>
    </w:p>
    <w:p>
      <w:pPr>
        <w:pStyle w:val="Normal"/>
        <w:pBdr>
          <w:top w:val="single" w:sz="4" w:space="1" w:color="000000"/>
          <w:left w:val="single" w:sz="4" w:space="4" w:color="000000"/>
          <w:bottom w:val="single" w:sz="4" w:space="1" w:color="000000"/>
          <w:right w:val="single" w:sz="4" w:space="4" w:color="000000"/>
        </w:pBdr>
        <w:shd w:fill="D9D9D9" w:val="clear"/>
        <w:spacing w:before="120" w:after="120"/>
        <w:ind w:right="-1" w:firstLine="426"/>
        <w:jc w:val="both"/>
        <w:rPr>
          <w:rFonts w:cs="Arial"/>
        </w:rPr>
      </w:pPr>
      <w:r>
        <w:rPr>
          <w:rFonts w:cs="Arial" w:ascii="Arial" w:hAnsi="Arial"/>
          <w:i/>
          <w:sz w:val="20"/>
          <w:szCs w:val="20"/>
        </w:rPr>
        <w:t>In caso di rigetto della domanda si applica la sanzione della rimessa in pristino, oltre all’esercizio dell’azione penale, (art. 181 D. Lgs. n. 42/04).</w:t>
      </w:r>
    </w:p>
    <w:tbl>
      <w:tblPr>
        <w:tblW w:w="9654" w:type="dxa"/>
        <w:jc w:val="left"/>
        <w:tblInd w:w="70" w:type="dxa"/>
        <w:tblBorders>
          <w:bottom w:val="single" w:sz="6" w:space="0" w:color="000000"/>
          <w:insideH w:val="single" w:sz="6" w:space="0" w:color="000000"/>
        </w:tblBorders>
        <w:tblCellMar>
          <w:top w:w="0" w:type="dxa"/>
          <w:left w:w="70" w:type="dxa"/>
          <w:bottom w:w="0" w:type="dxa"/>
          <w:right w:w="70" w:type="dxa"/>
        </w:tblCellMar>
      </w:tblPr>
      <w:tblGrid>
        <w:gridCol w:w="2694"/>
        <w:gridCol w:w="4506"/>
        <w:gridCol w:w="30"/>
        <w:gridCol w:w="2409"/>
        <w:gridCol w:w="15"/>
      </w:tblGrid>
      <w:tr>
        <w:trPr/>
        <w:tc>
          <w:tcPr>
            <w:tcW w:w="9639" w:type="dxa"/>
            <w:gridSpan w:val="4"/>
            <w:tcBorders>
              <w:bottom w:val="single" w:sz="6" w:space="0" w:color="000000"/>
              <w:insideH w:val="single" w:sz="6" w:space="0" w:color="000000"/>
            </w:tcBorders>
            <w:shd w:fill="auto" w:val="clear"/>
          </w:tcPr>
          <w:p>
            <w:pPr>
              <w:pStyle w:val="Normal"/>
              <w:spacing w:before="120" w:after="120"/>
              <w:jc w:val="center"/>
              <w:rPr>
                <w:rFonts w:ascii="Arial" w:hAnsi="Arial" w:cs="Arial"/>
                <w:b/>
                <w:b/>
                <w:i/>
                <w:i/>
                <w:sz w:val="18"/>
                <w:szCs w:val="18"/>
              </w:rPr>
            </w:pPr>
            <w:r>
              <w:rPr>
                <w:rFonts w:cs="Arial" w:ascii="Arial" w:hAnsi="Arial"/>
                <w:b/>
                <w:i/>
                <w:sz w:val="20"/>
                <w:szCs w:val="18"/>
              </w:rPr>
              <w:t>SANZIONI AMMINISTRATIVE</w:t>
            </w:r>
          </w:p>
          <w:p>
            <w:pPr>
              <w:pStyle w:val="Normal"/>
              <w:spacing w:before="120" w:after="120"/>
              <w:jc w:val="center"/>
              <w:rPr>
                <w:rFonts w:ascii="Verdana" w:hAnsi="Verdana" w:cs="Verdana"/>
                <w:b/>
                <w:b/>
                <w:i/>
                <w:i/>
                <w:caps/>
                <w:sz w:val="18"/>
                <w:szCs w:val="18"/>
              </w:rPr>
            </w:pPr>
            <w:r>
              <w:rPr>
                <w:rFonts w:cs="Arial" w:ascii="Arial" w:hAnsi="Arial"/>
                <w:i/>
                <w:sz w:val="18"/>
                <w:szCs w:val="18"/>
              </w:rPr>
              <w:t xml:space="preserve">Autorità competente: </w:t>
            </w:r>
            <w:r>
              <w:rPr>
                <w:rFonts w:cs="Arial" w:ascii="Arial" w:hAnsi="Arial"/>
                <w:b/>
                <w:i/>
                <w:caps/>
                <w:sz w:val="18"/>
                <w:szCs w:val="18"/>
              </w:rPr>
              <w:t xml:space="preserve">REGIONE </w:t>
            </w:r>
            <w:r>
              <w:rPr>
                <w:rFonts w:cs="Arial" w:ascii="Arial" w:hAnsi="Arial"/>
                <w:i/>
                <w:caps/>
                <w:sz w:val="18"/>
                <w:szCs w:val="18"/>
              </w:rPr>
              <w:t>(</w:t>
            </w:r>
            <w:r>
              <w:rPr>
                <w:rFonts w:cs="Arial" w:ascii="Arial" w:hAnsi="Arial"/>
                <w:i/>
                <w:sz w:val="18"/>
                <w:szCs w:val="18"/>
              </w:rPr>
              <w:t>Normalmente il Comune, o altro ente, se delegato</w:t>
            </w:r>
            <w:r>
              <w:rPr>
                <w:rFonts w:cs="Arial" w:ascii="Arial" w:hAnsi="Arial"/>
                <w:i/>
                <w:caps/>
                <w:sz w:val="18"/>
                <w:szCs w:val="18"/>
              </w:rPr>
              <w:t>)</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Opere abusive</w:t>
            </w:r>
          </w:p>
        </w:tc>
        <w:tc>
          <w:tcPr>
            <w:tcW w:w="4536" w:type="dxa"/>
            <w:gridSpan w:val="2"/>
            <w:tcBorders>
              <w:top w:val="single" w:sz="6" w:space="0" w:color="000000"/>
              <w:left w:val="single" w:sz="6" w:space="0" w:color="000000"/>
              <w:bottom w:val="single" w:sz="6" w:space="0" w:color="000000"/>
              <w:insideH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Sanzioni</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vAlign w:val="cente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in assenza o in parziale o totale difformità o con varianti essenziali alle licenze edilizie:</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SCIA alternativa “super”</w:t>
            </w:r>
            <w:r>
              <w:rPr>
                <w:rStyle w:val="FootnoteCharacters"/>
                <w:rFonts w:cs="Arial" w:ascii="Arial" w:hAnsi="Arial"/>
                <w:i/>
                <w:sz w:val="16"/>
                <w:szCs w:val="16"/>
              </w:rPr>
              <w:t xml:space="preserve"> </w:t>
            </w:r>
          </w:p>
          <w:p>
            <w:pPr>
              <w:pStyle w:val="Normal"/>
              <w:numPr>
                <w:ilvl w:val="0"/>
                <w:numId w:val="3"/>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Permesso di costruire</w:t>
            </w:r>
          </w:p>
          <w:p>
            <w:pPr>
              <w:pStyle w:val="Normal"/>
              <w:spacing w:before="120" w:after="120"/>
              <w:jc w:val="both"/>
              <w:rPr>
                <w:rFonts w:ascii="Arial" w:hAnsi="Arial" w:cs="Arial"/>
                <w:i/>
                <w:i/>
                <w:sz w:val="16"/>
                <w:szCs w:val="16"/>
              </w:rPr>
            </w:pPr>
            <w:r>
              <w:rPr>
                <w:rFonts w:cs="Arial" w:ascii="Arial" w:hAnsi="Arial"/>
                <w:i/>
                <w:sz w:val="16"/>
                <w:szCs w:val="16"/>
              </w:rPr>
              <w:t>soggiacciono alle sanzioni amministrative a fianco indicate.</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Sospensione dei lavori</w:t>
            </w:r>
          </w:p>
          <w:p>
            <w:pPr>
              <w:pStyle w:val="Normal"/>
              <w:numPr>
                <w:ilvl w:val="0"/>
                <w:numId w:val="24"/>
              </w:numPr>
              <w:suppressAutoHyphens w:val="false"/>
              <w:spacing w:before="120" w:after="120"/>
              <w:ind w:left="360" w:hanging="360"/>
              <w:jc w:val="both"/>
              <w:textAlignment w:val="auto"/>
              <w:rPr>
                <w:rFonts w:ascii="Arial" w:hAnsi="Arial" w:cs="Arial"/>
                <w:i/>
                <w:i/>
                <w:sz w:val="16"/>
                <w:szCs w:val="16"/>
              </w:rPr>
            </w:pPr>
            <w:r>
              <w:rPr>
                <w:rFonts w:cs="Arial" w:ascii="Arial" w:hAnsi="Arial"/>
                <w:i/>
                <w:sz w:val="16"/>
                <w:szCs w:val="16"/>
              </w:rPr>
              <w:t>Ordinanza di ripristino</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In alternativa al ripristino, se questo non è possibile dal punto di vista tecnico, al pagamento di un’indennità equivalente alla maggiore somma tra il danno arrecato, la diminuzione del valore e il profitto conseguito mediante la commessa trasgressione, (oltre alla procedura penale</w:t>
            </w:r>
            <w:r>
              <w:rPr>
                <w:rStyle w:val="FootnoteCharacters"/>
                <w:rFonts w:cs="Arial" w:ascii="Arial" w:hAnsi="Arial"/>
                <w:i/>
                <w:sz w:val="16"/>
                <w:szCs w:val="16"/>
              </w:rPr>
              <w:t xml:space="preserve"> </w:t>
            </w:r>
            <w:r>
              <w:rPr>
                <w:rFonts w:cs="Arial" w:ascii="Arial" w:hAnsi="Arial"/>
                <w:i/>
                <w:sz w:val="16"/>
                <w:szCs w:val="16"/>
              </w:rPr>
              <w:t xml:space="preserve">.)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Se trattasi di ristrutturazione edilizia abusiva, viene irrogata anche la sanzione pecuniaria da €. 516 a € 5164.</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 xml:space="preserve">Acquisizione del bene, in caso d’inottemperanza, (qualora sia possibile la rimessa in pristino), a favore dell’autorità titolare del vincolo </w:t>
            </w:r>
          </w:p>
          <w:p>
            <w:pPr>
              <w:pStyle w:val="Normal"/>
              <w:numPr>
                <w:ilvl w:val="0"/>
                <w:numId w:val="24"/>
              </w:numPr>
              <w:spacing w:before="120" w:after="160"/>
              <w:ind w:left="360" w:hanging="360"/>
              <w:jc w:val="both"/>
              <w:rPr>
                <w:rFonts w:ascii="Arial" w:hAnsi="Arial" w:cs="Arial"/>
                <w:i/>
                <w:i/>
                <w:sz w:val="16"/>
                <w:szCs w:val="16"/>
              </w:rPr>
            </w:pPr>
            <w:r>
              <w:rPr>
                <w:rFonts w:cs="Arial" w:ascii="Arial" w:hAnsi="Arial"/>
                <w:i/>
                <w:sz w:val="16"/>
                <w:szCs w:val="16"/>
              </w:rPr>
              <w:t>Demolizione d’ufficio a spese dei responsabili.</w:t>
            </w:r>
          </w:p>
        </w:tc>
        <w:tc>
          <w:tcPr>
            <w:tcW w:w="2424"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65" w:type="dxa"/>
            </w:tcMar>
          </w:tcPr>
          <w:p>
            <w:pPr>
              <w:pStyle w:val="Normal"/>
              <w:numPr>
                <w:ilvl w:val="0"/>
                <w:numId w:val="0"/>
              </w:numPr>
              <w:tabs>
                <w:tab w:val="left" w:pos="5120" w:leader="none"/>
              </w:tabs>
              <w:spacing w:before="120" w:after="120"/>
              <w:ind w:left="0" w:hanging="0"/>
              <w:jc w:val="center"/>
              <w:rPr>
                <w:rFonts w:ascii="Arial" w:hAnsi="Arial" w:cs="Arial"/>
                <w:i/>
                <w:i/>
                <w:caps/>
                <w:sz w:val="16"/>
                <w:szCs w:val="16"/>
              </w:rPr>
            </w:pPr>
            <w:r>
              <w:rPr>
                <w:rFonts w:cs="Arial" w:ascii="Arial" w:hAnsi="Arial"/>
                <w:b/>
                <w:bCs/>
                <w:i/>
                <w:caps/>
                <w:sz w:val="16"/>
                <w:szCs w:val="16"/>
              </w:rPr>
              <w:t>concorso di norme</w:t>
            </w:r>
          </w:p>
          <w:p>
            <w:pPr>
              <w:pStyle w:val="Normal"/>
              <w:tabs>
                <w:tab w:val="left" w:pos="5120" w:leader="none"/>
              </w:tabs>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33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31 DPR n. 380/01</w:t>
            </w:r>
          </w:p>
          <w:p>
            <w:pPr>
              <w:pStyle w:val="Normal"/>
              <w:suppressAutoHyphens w:val="false"/>
              <w:spacing w:before="120" w:after="120"/>
              <w:jc w:val="both"/>
              <w:textAlignment w:val="auto"/>
              <w:rPr>
                <w:rFonts w:ascii="Arial" w:hAnsi="Arial" w:cs="Arial"/>
                <w:i/>
                <w:i/>
                <w:sz w:val="16"/>
                <w:szCs w:val="16"/>
                <w:lang w:val="de-DE"/>
              </w:rPr>
            </w:pPr>
            <w:r>
              <w:rPr>
                <w:rFonts w:cs="Arial" w:ascii="Arial" w:hAnsi="Arial"/>
                <w:i/>
                <w:sz w:val="16"/>
                <w:szCs w:val="16"/>
                <w:lang w:val="de-DE"/>
              </w:rPr>
              <w:t>Art. 41 DPR n. 380/01</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1"/>
              </w:numPr>
              <w:suppressAutoHyphens w:val="false"/>
              <w:spacing w:before="120" w:after="120"/>
              <w:jc w:val="both"/>
              <w:textAlignment w:val="auto"/>
              <w:rPr>
                <w:rFonts w:ascii="Arial" w:hAnsi="Arial" w:cs="Arial"/>
                <w:i/>
                <w:i/>
                <w:sz w:val="16"/>
                <w:szCs w:val="16"/>
              </w:rPr>
            </w:pPr>
            <w:r>
              <w:rPr>
                <w:rFonts w:cs="Arial" w:ascii="Arial" w:hAnsi="Arial"/>
                <w:i/>
                <w:sz w:val="16"/>
                <w:szCs w:val="16"/>
              </w:rPr>
              <w:t>Restauro e risanamento conservativo</w:t>
            </w:r>
          </w:p>
        </w:tc>
        <w:tc>
          <w:tcPr>
            <w:tcW w:w="4536" w:type="dxa"/>
            <w:gridSpan w:val="2"/>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Sanzione pecuniaria</w:t>
            </w:r>
          </w:p>
          <w:p>
            <w:pPr>
              <w:pStyle w:val="Normal"/>
              <w:numPr>
                <w:ilvl w:val="0"/>
                <w:numId w:val="15"/>
              </w:numPr>
              <w:spacing w:before="120" w:after="160"/>
              <w:jc w:val="both"/>
              <w:rPr>
                <w:rFonts w:ascii="Arial" w:hAnsi="Arial" w:cs="Arial"/>
                <w:i/>
                <w:i/>
                <w:sz w:val="16"/>
                <w:szCs w:val="16"/>
              </w:rPr>
            </w:pPr>
            <w:r>
              <w:rPr>
                <w:rFonts w:cs="Arial" w:ascii="Arial" w:hAnsi="Arial"/>
                <w:i/>
                <w:sz w:val="16"/>
                <w:szCs w:val="16"/>
              </w:rPr>
              <w:t xml:space="preserve">Ordinanza di ripristino </w:t>
            </w:r>
          </w:p>
        </w:tc>
        <w:tc>
          <w:tcPr>
            <w:tcW w:w="24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suppressAutoHyphens w:val="false"/>
              <w:spacing w:before="120" w:after="120"/>
              <w:jc w:val="both"/>
              <w:textAlignment w:val="auto"/>
              <w:rPr>
                <w:rFonts w:ascii="Arial" w:hAnsi="Arial" w:cs="Arial"/>
                <w:i/>
                <w:i/>
                <w:sz w:val="16"/>
                <w:szCs w:val="16"/>
              </w:rPr>
            </w:pPr>
            <w:r>
              <w:rPr>
                <w:rFonts w:cs="Arial" w:ascii="Arial" w:hAnsi="Arial"/>
                <w:i/>
                <w:sz w:val="16"/>
                <w:szCs w:val="16"/>
              </w:rPr>
              <w:t>Art. 37 /2 DPR n. 380/01</w:t>
            </w:r>
          </w:p>
        </w:tc>
      </w:tr>
      <w:tr>
        <w:trPr/>
        <w:tc>
          <w:tcPr>
            <w:tcW w:w="9639" w:type="dxa"/>
            <w:gridSpan w:val="4"/>
            <w:tcBorders>
              <w:top w:val="single" w:sz="6" w:space="0" w:color="000000"/>
              <w:bottom w:val="single" w:sz="6" w:space="0" w:color="000000"/>
              <w:insideH w:val="single" w:sz="6" w:space="0" w:color="000000"/>
            </w:tcBorders>
            <w:shd w:fill="auto" w:val="clear"/>
          </w:tcPr>
          <w:p>
            <w:pPr>
              <w:pStyle w:val="Nessunaspaziatura"/>
              <w:spacing w:before="120" w:after="120"/>
              <w:jc w:val="center"/>
              <w:rPr>
                <w:rFonts w:ascii="Arial" w:hAnsi="Arial" w:cs="Arial"/>
                <w:b/>
                <w:b/>
                <w:i/>
                <w:i/>
              </w:rPr>
            </w:pPr>
            <w:r>
              <w:rPr>
                <w:rFonts w:cs="Arial" w:ascii="Arial" w:hAnsi="Arial"/>
                <w:b/>
                <w:i/>
              </w:rPr>
              <w:t>SANZIONI PENALI</w:t>
            </w:r>
          </w:p>
        </w:tc>
      </w:tr>
      <w:tr>
        <w:trPr/>
        <w:tc>
          <w:tcPr>
            <w:tcW w:w="2694"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pPr>
            <w:r>
              <w:rPr>
                <w:rFonts w:cs="Arial" w:ascii="Arial" w:hAnsi="Arial"/>
                <w:b/>
                <w:i/>
                <w:caps/>
                <w:sz w:val="18"/>
                <w:szCs w:val="16"/>
              </w:rPr>
              <w:t>Opere abusive</w:t>
            </w:r>
          </w:p>
        </w:tc>
        <w:tc>
          <w:tcPr>
            <w:tcW w:w="4506" w:type="dxa"/>
            <w:tcBorders>
              <w:top w:val="single" w:sz="6" w:space="0" w:color="000000"/>
              <w:left w:val="single" w:sz="6" w:space="0" w:color="000000"/>
              <w:bottom w:val="single" w:sz="6" w:space="0" w:color="000000"/>
              <w:insideH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NOTE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B4C6E7" w:val="clear"/>
            <w:tcMar>
              <w:left w:w="62" w:type="dxa"/>
            </w:tcMar>
          </w:tcPr>
          <w:p>
            <w:pPr>
              <w:pStyle w:val="Normal"/>
              <w:spacing w:before="120" w:after="120"/>
              <w:jc w:val="center"/>
              <w:rPr>
                <w:rFonts w:ascii="Arial" w:hAnsi="Arial" w:cs="Arial"/>
                <w:b/>
                <w:b/>
                <w:i/>
                <w:i/>
                <w:caps/>
                <w:sz w:val="18"/>
                <w:szCs w:val="16"/>
              </w:rPr>
            </w:pPr>
            <w:r>
              <w:rPr>
                <w:rFonts w:cs="Arial" w:ascii="Arial" w:hAnsi="Arial"/>
                <w:b/>
                <w:i/>
                <w:caps/>
                <w:sz w:val="18"/>
                <w:szCs w:val="16"/>
              </w:rPr>
              <w:t>Norme</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(Comune)</w:t>
            </w:r>
            <w:r>
              <w:rPr>
                <w:rFonts w:cs="Arial" w:ascii="Arial" w:hAnsi="Arial"/>
                <w:i/>
                <w:caps/>
                <w:sz w:val="16"/>
                <w:szCs w:val="16"/>
              </w:rPr>
              <w:t xml:space="preserv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6"/>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pPr>
            <w:r>
              <w:rPr>
                <w:rFonts w:cs="Arial" w:ascii="Arial" w:hAnsi="Arial"/>
                <w:i/>
                <w:sz w:val="16"/>
                <w:szCs w:val="16"/>
              </w:rPr>
              <w:t xml:space="preserve">Quando le opere sono state eseguite in assenza del titolo abilitativo: «Permesso di costruire/SCIA super»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DELITTO</w:t>
            </w:r>
          </w:p>
          <w:p>
            <w:pPr>
              <w:pStyle w:val="Normal"/>
              <w:tabs>
                <w:tab w:val="left" w:pos="5120" w:leader="none"/>
              </w:tabs>
              <w:suppressAutoHyphens w:val="false"/>
              <w:spacing w:before="120" w:after="120"/>
              <w:jc w:val="both"/>
              <w:textAlignment w:val="auto"/>
              <w:rPr>
                <w:rFonts w:ascii="Arial" w:hAnsi="Arial" w:cs="Arial"/>
                <w:b/>
                <w:b/>
                <w:i/>
                <w:i/>
                <w:sz w:val="16"/>
                <w:szCs w:val="16"/>
                <w:lang w:val="en-GB"/>
              </w:rPr>
            </w:pPr>
            <w:r>
              <w:rPr>
                <w:rFonts w:cs="Arial" w:ascii="Arial" w:hAnsi="Arial"/>
                <w:i/>
                <w:sz w:val="16"/>
                <w:szCs w:val="16"/>
                <w:lang w:val="en-GB"/>
              </w:rPr>
              <w:t xml:space="preserve">Art. 181 c. 1 lett. “b” D. Lgs. 42/2004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 (Eventuale)</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lang w:val="de-DE"/>
              </w:rPr>
              <w:t>Art. 44/c 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rFonts w:ascii="Arial" w:hAnsi="Arial" w:cs="Arial"/>
                <w:i/>
                <w:i/>
                <w:sz w:val="16"/>
                <w:szCs w:val="16"/>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Opere ed interventi edilizi effettuati senza la specifica autorizzazione della </w:t>
            </w:r>
            <w:r>
              <w:rPr>
                <w:rFonts w:cs="Arial" w:ascii="Arial" w:hAnsi="Arial"/>
                <w:i/>
                <w:caps/>
                <w:sz w:val="16"/>
                <w:szCs w:val="16"/>
              </w:rPr>
              <w:t xml:space="preserve">REGIONE </w:t>
            </w:r>
            <w:r>
              <w:rPr>
                <w:rFonts w:cs="Arial" w:ascii="Arial" w:hAnsi="Arial"/>
                <w:i/>
                <w:sz w:val="16"/>
                <w:szCs w:val="16"/>
              </w:rPr>
              <w:t xml:space="preserve">in assenza o in parziale o totale difformità o con varianti essenziali alle licenze edilizie: «Permesso di costruire/SCIA super». </w:t>
            </w:r>
          </w:p>
          <w:p>
            <w:pPr>
              <w:pStyle w:val="Normal"/>
              <w:numPr>
                <w:ilvl w:val="0"/>
                <w:numId w:val="11"/>
              </w:numPr>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Che </w:t>
            </w:r>
            <w:r>
              <w:rPr>
                <w:rFonts w:cs="Arial" w:ascii="Arial" w:hAnsi="Arial"/>
                <w:b/>
                <w:i/>
                <w:sz w:val="16"/>
                <w:szCs w:val="16"/>
              </w:rPr>
              <w:t>NON</w:t>
            </w:r>
            <w:r>
              <w:rPr>
                <w:rFonts w:cs="Arial" w:ascii="Arial" w:hAnsi="Arial"/>
                <w:i/>
                <w:sz w:val="16"/>
                <w:szCs w:val="16"/>
              </w:rPr>
              <w:t xml:space="preserve"> </w:t>
            </w:r>
            <w:r>
              <w:rPr>
                <w:rFonts w:cs="Arial" w:ascii="Arial" w:hAnsi="Arial"/>
                <w:b/>
                <w:i/>
                <w:caps/>
                <w:sz w:val="16"/>
                <w:szCs w:val="16"/>
              </w:rPr>
              <w:t>superano</w:t>
            </w:r>
            <w:r>
              <w:rPr>
                <w:rFonts w:cs="Arial" w:ascii="Arial" w:hAnsi="Arial"/>
                <w:i/>
                <w:sz w:val="16"/>
                <w:szCs w:val="16"/>
              </w:rPr>
              <w:t xml:space="preserve"> i limiti indicati dell’art. 181 c. 1 lett. “b” D. Lgs. 42/2004</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0"/>
              </w:numPr>
              <w:spacing w:before="120" w:after="120"/>
              <w:ind w:left="2" w:hanging="2"/>
              <w:jc w:val="both"/>
              <w:rPr>
                <w:rFonts w:ascii="Arial" w:hAnsi="Arial" w:cs="Arial"/>
                <w:i/>
                <w:i/>
                <w:sz w:val="16"/>
                <w:szCs w:val="16"/>
              </w:rPr>
            </w:pPr>
            <w:r>
              <w:rPr>
                <w:rFonts w:cs="Arial" w:ascii="Arial" w:hAnsi="Arial"/>
                <w:i/>
                <w:sz w:val="16"/>
                <w:szCs w:val="16"/>
              </w:rPr>
              <w:t xml:space="preserve">Quando le opere sono state eseguite in assenza delle licenze edilizie: «Permesso di costruire/SCIA super/SCIA» e di conseguenza senza la specifica autorizzazione della </w:t>
            </w:r>
            <w:r>
              <w:rPr>
                <w:rFonts w:cs="Arial" w:ascii="Arial" w:hAnsi="Arial"/>
                <w:i/>
                <w:caps/>
                <w:sz w:val="16"/>
                <w:szCs w:val="16"/>
              </w:rPr>
              <w:t>REGIONE (</w:t>
            </w:r>
            <w:r>
              <w:rPr>
                <w:rFonts w:cs="Arial" w:ascii="Arial" w:hAnsi="Arial"/>
                <w:i/>
                <w:sz w:val="16"/>
                <w:szCs w:val="16"/>
              </w:rPr>
              <w:t>Comune</w:t>
            </w:r>
            <w:r>
              <w:rPr>
                <w:rFonts w:cs="Arial" w:ascii="Arial" w:hAnsi="Arial"/>
                <w:i/>
                <w:caps/>
                <w:sz w:val="16"/>
                <w:szCs w:val="16"/>
              </w:rPr>
              <w:t>)</w:t>
            </w:r>
            <w:r>
              <w:rPr>
                <w:rFonts w:cs="Arial" w:ascii="Arial" w:hAnsi="Arial"/>
                <w:i/>
                <w:sz w:val="16"/>
                <w:szCs w:val="16"/>
              </w:rPr>
              <w:t>, quest’ultima, su segnalazione del dirigente, ordina la rimessa in pristino, indicando i criteri e modalità dirette a ricostruire l’originario organismo edilizio.</w:t>
            </w:r>
          </w:p>
          <w:p>
            <w:pPr>
              <w:pStyle w:val="Normal"/>
              <w:numPr>
                <w:ilvl w:val="0"/>
                <w:numId w:val="0"/>
              </w:numPr>
              <w:spacing w:before="120" w:after="120"/>
              <w:ind w:left="0" w:hanging="0"/>
              <w:jc w:val="both"/>
              <w:rPr/>
            </w:pPr>
            <w:r>
              <w:rPr>
                <w:rFonts w:cs="Arial" w:ascii="Arial" w:hAnsi="Arial"/>
                <w:i/>
                <w:sz w:val="16"/>
                <w:szCs w:val="16"/>
              </w:rPr>
              <w:t xml:space="preserve">(Abusi che </w:t>
            </w:r>
            <w:r>
              <w:rPr>
                <w:rFonts w:cs="Arial" w:ascii="Arial" w:hAnsi="Arial"/>
                <w:b/>
                <w:i/>
                <w:sz w:val="16"/>
                <w:szCs w:val="16"/>
                <w:u w:val="single"/>
              </w:rPr>
              <w:t>NON</w:t>
            </w:r>
            <w:r>
              <w:rPr>
                <w:rFonts w:cs="Arial" w:ascii="Arial" w:hAnsi="Arial"/>
                <w:i/>
                <w:sz w:val="16"/>
                <w:szCs w:val="16"/>
                <w:u w:val="single"/>
              </w:rPr>
              <w:t xml:space="preserve"> </w:t>
            </w:r>
            <w:r>
              <w:rPr>
                <w:rFonts w:cs="Arial" w:ascii="Arial" w:hAnsi="Arial"/>
                <w:b/>
                <w:i/>
                <w:caps/>
                <w:sz w:val="16"/>
                <w:szCs w:val="16"/>
                <w:u w:val="single"/>
              </w:rPr>
              <w:t>abbiano</w:t>
            </w:r>
            <w:r>
              <w:rPr>
                <w:rFonts w:cs="Arial" w:ascii="Arial" w:hAnsi="Arial"/>
                <w:i/>
                <w:sz w:val="16"/>
                <w:szCs w:val="16"/>
              </w:rPr>
              <w:t xml:space="preserve"> comportato un aumento dei manufatti superiore al trenta per cento della volumetria della costruzione originaria o, in alternativa, un ampliamento della medesima superiore a settecentocinquanta metri cubi, ovvero ancora abbiano comportato una nuova costruzione con una volumetria superiore ai mille metri cubi.)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center"/>
              <w:textAlignment w:val="auto"/>
              <w:rPr>
                <w:rFonts w:ascii="Arial" w:hAnsi="Arial" w:cs="Arial"/>
                <w:b/>
                <w:b/>
                <w:i/>
                <w:i/>
                <w:sz w:val="16"/>
                <w:szCs w:val="16"/>
                <w:lang w:val="en-GB"/>
              </w:rPr>
            </w:pPr>
            <w:r>
              <w:rPr>
                <w:rFonts w:cs="Arial" w:ascii="Arial" w:hAnsi="Arial"/>
                <w:b/>
                <w:i/>
                <w:sz w:val="16"/>
                <w:szCs w:val="16"/>
                <w:lang w:val="en-GB"/>
              </w:rPr>
              <w:t>CONTRAVVENZIONE</w:t>
            </w:r>
          </w:p>
          <w:p>
            <w:pPr>
              <w:pStyle w:val="Normal"/>
              <w:tabs>
                <w:tab w:val="left" w:pos="5120" w:leader="none"/>
              </w:tabs>
              <w:suppressAutoHyphens w:val="false"/>
              <w:spacing w:before="120" w:after="120"/>
              <w:jc w:val="both"/>
              <w:textAlignment w:val="auto"/>
              <w:rPr/>
            </w:pPr>
            <w:r>
              <w:rPr>
                <w:rFonts w:cs="Arial" w:ascii="Arial" w:hAnsi="Arial"/>
                <w:i/>
                <w:sz w:val="16"/>
                <w:szCs w:val="16"/>
                <w:lang w:val="en-GB"/>
              </w:rPr>
              <w:t>Art. 181 c. 1 D. Lgs. 42/2004:  punito dall’art. 44/c DPR n. 380/01</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w:t>
            </w:r>
            <w:r>
              <w:rPr>
                <w:rFonts w:cs="Arial" w:ascii="Arial" w:hAnsi="Arial"/>
                <w:bCs/>
                <w:i/>
                <w:sz w:val="16"/>
                <w:szCs w:val="16"/>
              </w:rPr>
              <w:t>734 c.p.</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 xml:space="preserve">Art. 31 – 32 – 33 etc. </w:t>
            </w:r>
          </w:p>
          <w:p>
            <w:pPr>
              <w:pStyle w:val="Normal"/>
              <w:tabs>
                <w:tab w:val="left" w:pos="5120" w:leader="none"/>
              </w:tabs>
              <w:suppressAutoHyphens w:val="false"/>
              <w:spacing w:before="120" w:after="120"/>
              <w:jc w:val="both"/>
              <w:textAlignment w:val="auto"/>
              <w:rPr>
                <w:rFonts w:ascii="Arial" w:hAnsi="Arial" w:cs="Arial"/>
                <w:i/>
                <w:i/>
                <w:sz w:val="16"/>
                <w:szCs w:val="16"/>
              </w:rPr>
            </w:pPr>
            <w:r>
              <w:rPr>
                <w:rFonts w:cs="Arial" w:ascii="Arial" w:hAnsi="Arial"/>
                <w:i/>
                <w:sz w:val="16"/>
                <w:szCs w:val="16"/>
              </w:rPr>
              <w:t>DPR n. 380/01</w:t>
            </w:r>
          </w:p>
          <w:p>
            <w:pPr>
              <w:pStyle w:val="Footnote"/>
              <w:spacing w:before="120" w:after="120"/>
              <w:jc w:val="both"/>
              <w:rPr>
                <w:rFonts w:ascii="Arial" w:hAnsi="Arial" w:cs="Arial"/>
                <w:i/>
                <w:i/>
                <w:sz w:val="16"/>
                <w:szCs w:val="16"/>
                <w:u w:val="single"/>
              </w:rPr>
            </w:pPr>
            <w:r>
              <w:rPr>
                <w:rFonts w:cs="Arial" w:ascii="Arial" w:hAnsi="Arial"/>
                <w:i/>
                <w:sz w:val="16"/>
                <w:szCs w:val="16"/>
                <w:u w:val="single"/>
              </w:rPr>
              <w:t>Secondo i casi</w:t>
            </w:r>
          </w:p>
          <w:p>
            <w:pPr>
              <w:pStyle w:val="Footnote"/>
              <w:spacing w:before="120" w:after="120"/>
              <w:jc w:val="both"/>
              <w:rPr/>
            </w:pPr>
            <w:r>
              <w:rPr>
                <w:rFonts w:cs="Arial" w:ascii="Arial" w:hAnsi="Arial"/>
                <w:i/>
                <w:sz w:val="16"/>
                <w:szCs w:val="16"/>
              </w:rPr>
              <w:t>(Concorso di norme penali)</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rFonts w:ascii="Arial" w:hAnsi="Arial" w:cs="Arial"/>
                <w:i/>
                <w:i/>
                <w:sz w:val="16"/>
                <w:szCs w:val="16"/>
              </w:rPr>
            </w:pPr>
            <w:r>
              <w:rPr>
                <w:rFonts w:cs="Arial" w:ascii="Arial" w:hAnsi="Arial"/>
                <w:i/>
                <w:sz w:val="16"/>
                <w:szCs w:val="16"/>
              </w:rPr>
              <w:t>Continuare i lavori nonostante l’ordinanza di sospensione.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La sospensione dei lavori spetta sia all’autorità titolare del vincolo che al dirigente incaricato del controllo edilizio.</w:t>
            </w:r>
          </w:p>
          <w:p>
            <w:pPr>
              <w:pStyle w:val="Normal"/>
              <w:numPr>
                <w:ilvl w:val="0"/>
                <w:numId w:val="20"/>
              </w:numPr>
              <w:suppressAutoHyphens w:val="false"/>
              <w:spacing w:before="120" w:after="120"/>
              <w:jc w:val="both"/>
              <w:textAlignment w:val="auto"/>
              <w:rPr/>
            </w:pPr>
            <w:r>
              <w:rPr>
                <w:rFonts w:cs="Arial" w:ascii="Arial" w:hAnsi="Arial"/>
                <w:i/>
                <w:sz w:val="16"/>
                <w:szCs w:val="16"/>
              </w:rPr>
              <w:t>La continuazione dei lavori sospesi comporta il sequestro del cantiere (sentire il PM).</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GB"/>
              </w:rPr>
            </w:pPr>
            <w:r>
              <w:rPr>
                <w:rFonts w:cs="Arial" w:ascii="Arial" w:hAnsi="Arial"/>
                <w:i/>
                <w:sz w:val="16"/>
                <w:szCs w:val="16"/>
                <w:lang w:val="en-GB"/>
              </w:rPr>
              <w:t>Art. 44 lettera “b” DPR n. 380/200</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Paragrafoelenco"/>
              <w:numPr>
                <w:ilvl w:val="0"/>
                <w:numId w:val="18"/>
              </w:numPr>
              <w:suppressAutoHyphens w:val="false"/>
              <w:spacing w:before="120" w:after="120"/>
              <w:contextualSpacing/>
              <w:jc w:val="both"/>
              <w:textAlignment w:val="auto"/>
              <w:rPr>
                <w:rFonts w:ascii="Arial" w:hAnsi="Arial" w:cs="Arial"/>
                <w:i/>
                <w:i/>
                <w:sz w:val="16"/>
                <w:szCs w:val="16"/>
              </w:rPr>
            </w:pPr>
            <w:r>
              <w:rPr>
                <w:rFonts w:cs="Arial" w:ascii="Arial" w:hAnsi="Arial"/>
                <w:i/>
                <w:sz w:val="16"/>
                <w:szCs w:val="16"/>
              </w:rPr>
              <w:t>Ricerche archeologiche</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pacing w:before="120" w:after="160"/>
              <w:jc w:val="both"/>
              <w:rPr>
                <w:rFonts w:ascii="Arial" w:hAnsi="Arial" w:cs="Arial"/>
                <w:i/>
                <w:i/>
                <w:sz w:val="16"/>
                <w:szCs w:val="16"/>
              </w:rPr>
            </w:pPr>
            <w:r>
              <w:rPr>
                <w:rFonts w:cs="Arial" w:ascii="Arial" w:hAnsi="Arial"/>
                <w:i/>
                <w:sz w:val="16"/>
                <w:szCs w:val="16"/>
              </w:rPr>
              <w:t>In assenza d’autorizzazione.</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numPr>
                <w:ilvl w:val="0"/>
                <w:numId w:val="0"/>
              </w:numPr>
              <w:tabs>
                <w:tab w:val="left" w:pos="5120" w:leader="none"/>
              </w:tabs>
              <w:spacing w:before="120" w:after="120"/>
              <w:ind w:left="0" w:hanging="0"/>
              <w:jc w:val="both"/>
              <w:rPr>
                <w:rFonts w:ascii="Arial" w:hAnsi="Arial" w:cs="Arial"/>
                <w:i/>
                <w:i/>
                <w:sz w:val="16"/>
                <w:szCs w:val="16"/>
                <w:lang w:val="en-GB"/>
              </w:rPr>
            </w:pPr>
            <w:r>
              <w:rPr>
                <w:rFonts w:eastAsia="Arial" w:cs="Arial" w:ascii="Arial" w:hAnsi="Arial"/>
                <w:i/>
                <w:sz w:val="16"/>
                <w:szCs w:val="16"/>
                <w:lang w:val="en-GB"/>
              </w:rPr>
              <w:t xml:space="preserve"> </w:t>
            </w:r>
            <w:r>
              <w:rPr>
                <w:rFonts w:cs="Arial" w:ascii="Arial" w:hAnsi="Arial"/>
                <w:i/>
                <w:sz w:val="16"/>
                <w:szCs w:val="16"/>
                <w:lang w:val="en-GB"/>
              </w:rPr>
              <w:t>Art. 175 D. Lgs. 42/2004</w:t>
            </w:r>
          </w:p>
        </w:tc>
      </w:tr>
      <w:tr>
        <w:trPr/>
        <w:tc>
          <w:tcPr>
            <w:tcW w:w="2694"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 xml:space="preserve">Inosservanza delle prescrizioni del Ministero </w:t>
            </w:r>
          </w:p>
        </w:tc>
        <w:tc>
          <w:tcPr>
            <w:tcW w:w="4506"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numPr>
                <w:ilvl w:val="0"/>
                <w:numId w:val="20"/>
              </w:numPr>
              <w:suppressAutoHyphens w:val="false"/>
              <w:spacing w:before="120" w:after="120"/>
              <w:jc w:val="both"/>
              <w:textAlignment w:val="auto"/>
              <w:rPr/>
            </w:pPr>
            <w:r>
              <w:rPr>
                <w:rFonts w:cs="Arial" w:ascii="Arial" w:hAnsi="Arial"/>
                <w:i/>
                <w:sz w:val="16"/>
                <w:szCs w:val="16"/>
              </w:rPr>
              <w:t>Non ottemperare alle prescrizioni dell’autorità preposta alla tutela dei beni culturali.</w:t>
            </w:r>
          </w:p>
        </w:tc>
        <w:tc>
          <w:tcPr>
            <w:tcW w:w="245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tabs>
                <w:tab w:val="left" w:pos="5120" w:leader="none"/>
              </w:tabs>
              <w:suppressAutoHyphens w:val="false"/>
              <w:spacing w:before="120" w:after="120"/>
              <w:jc w:val="both"/>
              <w:textAlignment w:val="auto"/>
              <w:rPr>
                <w:rFonts w:ascii="Arial" w:hAnsi="Arial" w:cs="Arial"/>
                <w:i/>
                <w:i/>
                <w:sz w:val="16"/>
                <w:szCs w:val="16"/>
                <w:lang w:val="en-US"/>
              </w:rPr>
            </w:pPr>
            <w:r>
              <w:rPr>
                <w:rFonts w:cs="Arial" w:ascii="Arial" w:hAnsi="Arial"/>
                <w:i/>
                <w:sz w:val="16"/>
                <w:szCs w:val="16"/>
                <w:lang w:val="en-US"/>
              </w:rPr>
              <w:t>Art. 172 D. Lgs. n. 42/2004 - Art. 650 c.p.</w:t>
            </w:r>
          </w:p>
        </w:tc>
      </w:tr>
    </w:tbl>
    <w:p>
      <w:pPr>
        <w:pStyle w:val="Nessunaspaziatura"/>
        <w:spacing w:before="120" w:after="120"/>
        <w:jc w:val="both"/>
        <w:rPr>
          <w:rFonts w:ascii="Arial" w:hAnsi="Arial" w:cs="Arial"/>
          <w:b/>
          <w:b/>
          <w:i/>
          <w:i/>
          <w:sz w:val="16"/>
          <w:szCs w:val="16"/>
        </w:rPr>
      </w:pPr>
      <w:r>
        <w:rPr>
          <w:rFonts w:cs="Arial" w:ascii="Arial" w:hAnsi="Arial"/>
          <w:b/>
          <w:i/>
          <w:sz w:val="16"/>
          <w:szCs w:val="16"/>
        </w:rPr>
        <w:t>Avvertenza:</w:t>
      </w:r>
    </w:p>
    <w:p>
      <w:pPr>
        <w:pStyle w:val="Nessunaspaziatura"/>
        <w:spacing w:before="120" w:after="120"/>
        <w:jc w:val="both"/>
        <w:rPr>
          <w:vanish/>
        </w:rPr>
      </w:pPr>
      <w:r>
        <w:rPr>
          <w:rFonts w:cs="Arial" w:ascii="Arial" w:hAnsi="Arial"/>
          <w:i/>
          <w:sz w:val="16"/>
          <w:szCs w:val="16"/>
        </w:rPr>
        <w:t xml:space="preserve">A fronte di una disciplina di non facile interpretazione stante la complessità di norme non sempre suffragate da indirizzo operativo univoco, come si dice in questi casi, pur garantendo l’affidabilità di questa </w:t>
      </w:r>
      <w:r>
        <w:rPr>
          <w:rFonts w:cs="Arial" w:ascii="Arial" w:hAnsi="Arial"/>
          <w:i/>
          <w:sz w:val="16"/>
          <w:szCs w:val="16"/>
          <w:u w:val="single"/>
        </w:rPr>
        <w:t>sintesi</w:t>
      </w:r>
      <w:bookmarkStart w:id="2" w:name="_PictureBullets"/>
      <w:bookmarkEnd w:id="2"/>
      <w:r>
        <w:rPr>
          <w:rFonts w:cs="Arial" w:ascii="Arial" w:hAnsi="Arial"/>
          <w:i/>
          <w:sz w:val="16"/>
          <w:szCs w:val="16"/>
        </w:rPr>
        <w:t>, le presenti note costituiscono sempre e soltanto l’interpretazione di chi scrive, che può anche non coincidere con altre esposizioni e letture.</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Comic Sans MS">
    <w:charset w:val="00"/>
    <w:family w:val="script"/>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before="0" w:after="0"/>
      <w:jc w:val="right"/>
      <w:textAlignment w:val="auto"/>
      <w:rPr/>
    </w:pPr>
    <w:bookmarkStart w:id="3" w:name="_Hlk479843000"/>
    <w:bookmarkEnd w:id="3"/>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8</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suppressAutoHyphens w:val="false"/>
            <w:spacing w:before="0" w:after="0"/>
            <w:ind w:right="7370" w:hanging="0"/>
            <w:jc w:val="right"/>
            <w:textAlignment w:val="auto"/>
            <w:rPr>
              <w:rFonts w:ascii="Arial" w:hAnsi="Arial" w:eastAsia="Times New Roman" w:cs="Arial"/>
              <w:color w:val="000000"/>
              <w:sz w:val="14"/>
              <w:szCs w:val="14"/>
              <w:lang w:eastAsia="it-IT"/>
            </w:rPr>
          </w:pPr>
          <w:r>
            <w:rPr>
              <w:rFonts w:eastAsia="Times New Roman"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rPr>
          </w:pPr>
          <w:r>
            <w:rPr>
              <w:rFonts w:eastAsia="Times New Roman" w:cs="Arial" w:ascii="Arial" w:hAnsi="Arial"/>
              <w:color w:val="000000"/>
              <w:sz w:val="10"/>
              <w:szCs w:val="10"/>
            </w:rPr>
            <w:t>Cod. 853610.e.2.0</w:t>
          </w:r>
        </w:p>
      </w:tc>
      <w:tc>
        <w:tcPr>
          <w:tcW w:w="7752" w:type="dxa"/>
          <w:tcBorders/>
          <w:shd w:fill="auto" w:val="clear"/>
          <w:vAlign w:val="center"/>
        </w:tcPr>
        <w:p>
          <w:pPr>
            <w:pStyle w:val="Normal"/>
            <w:suppressAutoHyphens w:val="false"/>
            <w:snapToGrid w:val="false"/>
            <w:spacing w:before="0" w:after="0"/>
            <w:ind w:right="87" w:hanging="0"/>
            <w:jc w:val="both"/>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r>
        </w:p>
      </w:tc>
    </w:tr>
    <w:tr>
      <w:trPr>
        <w:trHeight w:val="142" w:hRule="atLeast"/>
      </w:trPr>
      <w:tc>
        <w:tcPr>
          <w:tcW w:w="705" w:type="dxa"/>
          <w:vMerge w:val="continue"/>
          <w:tcBorders/>
          <w:shd w:fill="auto" w:val="clear"/>
          <w:vAlign w:val="center"/>
        </w:tcPr>
        <w:p>
          <w:pPr>
            <w:pStyle w:val="Normal"/>
            <w:suppressAutoHyphens w:val="false"/>
            <w:snapToGrid w:val="false"/>
            <w:spacing w:before="0" w:after="0"/>
            <w:jc w:val="both"/>
            <w:textAlignment w:val="auto"/>
            <w:rPr>
              <w:rFonts w:ascii="Arial" w:hAnsi="Arial" w:eastAsia="Times New Roman" w:cs="Arial"/>
              <w:color w:val="000000"/>
              <w:sz w:val="14"/>
              <w:szCs w:val="14"/>
              <w:lang w:eastAsia="it-IT"/>
            </w:rPr>
          </w:pPr>
          <w:r>
            <w:rPr>
              <w:rFonts w:eastAsia="Times New Roman" w:cs="Arial" w:ascii="Arial" w:hAnsi="Arial"/>
              <w:color w:val="000000"/>
              <w:sz w:val="14"/>
              <w:szCs w:val="14"/>
              <w:lang w:eastAsia="it-IT"/>
            </w:rPr>
          </w:r>
        </w:p>
      </w:tc>
      <w:tc>
        <w:tcPr>
          <w:tcW w:w="1182" w:type="dxa"/>
          <w:tcBorders>
            <w:top w:val="single" w:sz="4" w:space="0" w:color="000000"/>
          </w:tcBorders>
          <w:shd w:fill="auto" w:val="clear"/>
          <w:vAlign w:val="center"/>
        </w:tcPr>
        <w:p>
          <w:pPr>
            <w:pStyle w:val="Normal"/>
            <w:suppressAutoHyphens w:val="false"/>
            <w:spacing w:before="0" w:after="0"/>
            <w:jc w:val="center"/>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Grafiche E. Gaspari</w:t>
          </w:r>
        </w:p>
      </w:tc>
      <w:tc>
        <w:tcPr>
          <w:tcW w:w="7752" w:type="dxa"/>
          <w:tcBorders/>
          <w:shd w:fill="auto" w:val="clear"/>
          <w:vAlign w:val="center"/>
        </w:tcPr>
        <w:p>
          <w:pPr>
            <w:pStyle w:val="Normal"/>
            <w:suppressAutoHyphens w:val="false"/>
            <w:spacing w:before="0" w:after="0"/>
            <w:ind w:right="87" w:hanging="0"/>
            <w:jc w:val="right"/>
            <w:textAlignment w:val="auto"/>
            <w:rPr>
              <w:rFonts w:ascii="Arial" w:hAnsi="Arial" w:eastAsia="Times New Roman" w:cs="Arial"/>
              <w:color w:val="000000"/>
              <w:sz w:val="10"/>
              <w:szCs w:val="10"/>
              <w:lang w:eastAsia="it-IT"/>
            </w:rPr>
          </w:pPr>
          <w:r>
            <w:rPr>
              <w:rFonts w:eastAsia="Times New Roman" w:cs="Arial" w:ascii="Arial" w:hAnsi="Arial"/>
              <w:color w:val="000000"/>
              <w:sz w:val="10"/>
              <w:szCs w:val="10"/>
              <w:lang w:eastAsia="it-IT"/>
            </w:rPr>
            <w:t xml:space="preserve">Pag. </w:t>
          </w:r>
          <w:r>
            <w:rPr>
              <w:rFonts w:eastAsia="Times New Roman" w:cs="Arial" w:ascii="Arial" w:hAnsi="Arial"/>
              <w:color w:val="000000"/>
              <w:sz w:val="10"/>
              <w:szCs w:val="10"/>
              <w:lang w:eastAsia="it-IT"/>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rPr>
            <w:t xml:space="preserve"> di </w:t>
          </w:r>
          <w:r>
            <w:rPr>
              <w:rFonts w:eastAsia="Times New Roman" w:cs="Arial" w:ascii="Arial" w:hAnsi="Arial"/>
              <w:bCs/>
              <w:color w:val="000000"/>
              <w:sz w:val="10"/>
              <w:szCs w:val="10"/>
              <w:lang w:eastAsia="it-IT"/>
            </w:rPr>
            <w:fldChar w:fldCharType="begin"/>
          </w:r>
          <w:r>
            <w:instrText> NUMPAGES \* ARABIC </w:instrText>
          </w:r>
          <w:r>
            <w:fldChar w:fldCharType="separate"/>
          </w:r>
          <w:r>
            <w:t>8</w:t>
          </w:r>
          <w:r>
            <w:fldChar w:fldCharType="end"/>
          </w:r>
        </w:p>
      </w:tc>
    </w:tr>
  </w:tbl>
  <w:p>
    <w:pPr>
      <w:pStyle w:val="Normal"/>
      <w:tabs>
        <w:tab w:val="center" w:pos="4819" w:leader="none"/>
        <w:tab w:val="right" w:pos="9638" w:leader="none"/>
      </w:tabs>
      <w:suppressAutoHyphens w:val="false"/>
      <w:spacing w:before="0" w:after="0"/>
      <w:jc w:val="both"/>
      <w:textAlignment w:val="auto"/>
      <w:rPr>
        <w:rFonts w:ascii="Arial" w:hAnsi="Arial" w:eastAsia="Times New Roman" w:cs="Arial"/>
        <w:sz w:val="6"/>
      </w:rPr>
    </w:pPr>
    <w:r>
      <w:rPr>
        <w:rFonts w:eastAsia="Times New Roman" w:cs="Arial" w:ascii="Arial" w:hAnsi="Arial"/>
        <w:sz w:val="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t xml:space="preserve"> </w:t>
      </w:r>
      <w:r>
        <w:rPr>
          <w:rFonts w:cs="Arial" w:ascii="Arial" w:hAnsi="Arial"/>
          <w:i/>
          <w:sz w:val="16"/>
          <w:szCs w:val="16"/>
        </w:rPr>
        <w:t>Questa sintesi non tratta l’autorizzazione paesaggistica semplificata di cui al DPR n. 31/2017.</w:t>
      </w:r>
    </w:p>
  </w:footnote>
  <w:footnote w:id="3">
    <w:p>
      <w:pPr>
        <w:pStyle w:val="Nessunaspaziatura"/>
        <w:rPr/>
      </w:pPr>
      <w:r>
        <w:rPr>
          <w:rFonts w:eastAsia="Arial" w:cs="Arial" w:ascii="Arial" w:hAnsi="Arial"/>
          <w:i/>
          <w:sz w:val="16"/>
          <w:szCs w:val="16"/>
        </w:rPr>
        <w:footnoteRef/>
        <w:tab/>
        <w:t xml:space="preserve"> </w:t>
      </w:r>
      <w:r>
        <w:rPr>
          <w:rFonts w:cs="Arial" w:ascii="Arial" w:hAnsi="Arial"/>
          <w:i/>
          <w:sz w:val="16"/>
          <w:szCs w:val="16"/>
        </w:rPr>
        <w:t>Art. 146 D. Lgs. n. 42/04 e s.m.i. (articolo così sostituito dall’articolo 2, del d.lgs. n. 63 del 2008, con le modifiche successive).</w:t>
      </w:r>
    </w:p>
  </w:footnote>
  <w:footnote w:id="4">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(Aree tutelate per legge).</w:t>
      </w:r>
    </w:p>
  </w:footnote>
  <w:footnote w:id="5">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(Immobili ed aree di notevole interesse pubblico).</w:t>
      </w:r>
    </w:p>
  </w:footnote>
  <w:footnote w:id="6">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(Piano paesaggistico - Eventuale individuazione di ulteriori immobili od aree, di notevole interesse pubblico).</w:t>
      </w:r>
    </w:p>
  </w:footnote>
  <w:footnote w:id="7">
    <w:p>
      <w:pPr>
        <w:pStyle w:val="Nessunaspaziatura"/>
        <w:rPr>
          <w:rFonts w:ascii="Arial" w:hAnsi="Arial" w:cs="Arial"/>
          <w:i/>
          <w:i/>
          <w:sz w:val="16"/>
          <w:szCs w:val="16"/>
        </w:rPr>
      </w:pPr>
      <w:r>
        <w:rPr>
          <w:rFonts w:eastAsia="Arial" w:cs="Arial" w:ascii="Arial" w:hAnsi="Arial"/>
          <w:i/>
          <w:sz w:val="16"/>
          <w:szCs w:val="16"/>
        </w:rPr>
        <w:footnoteRef/>
        <w:tab/>
        <w:t xml:space="preserve"> </w:t>
      </w:r>
      <w:r>
        <w:rPr>
          <w:rFonts w:cs="Arial" w:ascii="Arial" w:hAnsi="Arial"/>
          <w:i/>
          <w:sz w:val="16"/>
          <w:szCs w:val="16"/>
        </w:rPr>
        <w:t>(</w:t>
      </w:r>
      <w:r>
        <w:rPr>
          <w:rFonts w:cs="Arial" w:ascii="Arial" w:hAnsi="Arial"/>
          <w:bCs/>
          <w:i/>
          <w:sz w:val="16"/>
          <w:szCs w:val="16"/>
        </w:rPr>
        <w:t>Notifiche eseguite, elenchi compilati, provvedimenti e atti emessi ai sensi della normativa previgente).</w:t>
      </w:r>
    </w:p>
  </w:footnote>
  <w:footnote w:id="8">
    <w:p>
      <w:pPr>
        <w:pStyle w:val="Footnote"/>
        <w:rPr>
          <w:rFonts w:ascii="Arial" w:hAnsi="Arial" w:cs="Arial"/>
          <w:i/>
          <w:i/>
          <w:sz w:val="16"/>
          <w:szCs w:val="16"/>
        </w:rPr>
      </w:pPr>
      <w:r>
        <w:rPr>
          <w:rFonts w:eastAsia="Arial" w:cs="Arial" w:ascii="Arial" w:hAnsi="Arial"/>
          <w:i/>
          <w:sz w:val="16"/>
          <w:szCs w:val="16"/>
        </w:rPr>
        <w:footnoteRef/>
        <w:tab/>
        <w:t xml:space="preserve"> </w:t>
      </w:r>
      <w:r>
        <w:rPr>
          <w:rFonts w:cs="Arial" w:ascii="Arial" w:hAnsi="Arial"/>
          <w:bCs/>
          <w:i/>
          <w:sz w:val="16"/>
          <w:szCs w:val="16"/>
        </w:rPr>
        <w:t>Ordine di rimessione in pristino o di versamento di indennità pecuniaria (Compatibilità paesaggistica).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5">
    <w:lvl w:ilvl="0">
      <w:start w:val="1"/>
      <w:numFmt w:val="bullet"/>
      <w:lvlText w:val="o"/>
      <w:lvlJc w:val="left"/>
      <w:pPr>
        <w:tabs>
          <w:tab w:val="num" w:pos="1065"/>
        </w:tabs>
        <w:ind w:left="1065" w:hanging="360"/>
      </w:pPr>
      <w:rPr>
        <w:rFonts w:ascii="Courier New" w:hAnsi="Courier New" w:cs="Courier New" w:hint="default"/>
        <w:sz w:val="20"/>
        <w:szCs w:val="20"/>
        <w:rFonts w:cs="Courier New"/>
      </w:rPr>
    </w:lvl>
    <w:lvl w:ilvl="1">
      <w:start w:val="1"/>
      <w:numFmt w:val="none"/>
      <w:suff w:val="nothing"/>
      <w:lvlText w:val="o"/>
      <w:lvlJc w:val="left"/>
      <w:pPr>
        <w:tabs>
          <w:tab w:val="num" w:pos="360"/>
        </w:tabs>
        <w:ind w:left="720" w:hanging="360"/>
      </w:pPr>
      <w:rPr>
        <w:sz w:val="20"/>
        <w:szCs w:val="20"/>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sz w:val="20"/>
        <w:szCs w:val="20"/>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sz w:val="20"/>
        <w:szCs w:val="20"/>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6">
    <w:lvl w:ilvl="0">
      <w:start w:val="1"/>
      <w:numFmt w:val="bullet"/>
      <w:lvlText w:val=""/>
      <w:lvlJc w:val="left"/>
      <w:pPr>
        <w:tabs>
          <w:tab w:val="num" w:pos="1068"/>
        </w:tabs>
        <w:ind w:left="1068" w:hanging="360"/>
      </w:pPr>
      <w:rPr>
        <w:rFonts w:ascii="Symbol" w:hAnsi="Symbol" w:cs="Symbol" w:hint="default"/>
        <w:sz w:val="18"/>
        <w:i/>
        <w:b w:val="false"/>
        <w:szCs w:val="18"/>
        <w:rFonts w:cs="Symbol"/>
        <w:color w:val="000000"/>
      </w:rPr>
    </w:lvl>
  </w:abstractNum>
  <w:abstractNum w:abstractNumId="7">
    <w:lvl w:ilvl="0">
      <w:start w:val="1"/>
      <w:numFmt w:val="lowerLetter"/>
      <w:lvlText w:val="%1)"/>
      <w:lvlJc w:val="left"/>
      <w:pPr>
        <w:tabs>
          <w:tab w:val="num" w:pos="720"/>
        </w:tabs>
        <w:ind w:left="720" w:hanging="360"/>
      </w:pPr>
      <w:rPr/>
    </w:lvl>
    <w:lvl w:ilvl="1">
      <w:start w:val="1"/>
      <w:numFmt w:val="bullet"/>
      <w:lvlText w:val=""/>
      <w:lvlJc w:val="left"/>
      <w:pPr>
        <w:tabs>
          <w:tab w:val="num" w:pos="1440"/>
        </w:tabs>
        <w:ind w:left="1440" w:hanging="360"/>
      </w:pPr>
      <w:rPr>
        <w:rFonts w:ascii="Symbol" w:hAnsi="Symbol" w:cs="Symbol" w:hint="default"/>
        <w:smallCaps w:val="false"/>
        <w:caps w:val="false"/>
        <w:vertAlign w:val="baseline"/>
        <w:position w:val="0"/>
        <w:sz w:val="24"/>
        <w:i w:val="false"/>
        <w:b w:val="false"/>
        <w:vanish w:val="false"/>
        <w:rFonts w:cs="Symbol"/>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lowerLetter"/>
      <w:lvlText w:val="%1)"/>
      <w:lvlJc w:val="left"/>
      <w:pPr>
        <w:tabs>
          <w:tab w:val="num" w:pos="720"/>
        </w:tabs>
        <w:ind w:left="720" w:hanging="360"/>
      </w:pPr>
      <w:rPr>
        <w:rFonts w:cs="Arial"/>
      </w:rPr>
    </w:lvl>
  </w:abstractNum>
  <w:abstractNum w:abstractNumId="9">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0">
    <w:lvl w:ilvl="0">
      <w:start w:val="1"/>
      <w:numFmt w:val="bullet"/>
      <w:lvlText w:val=""/>
      <w:lvlJc w:val="left"/>
      <w:pPr>
        <w:tabs>
          <w:tab w:val="num" w:pos="360"/>
        </w:tabs>
        <w:ind w:left="360" w:hanging="360"/>
      </w:pPr>
      <w:rPr>
        <w:rFonts w:ascii="Symbol" w:hAnsi="Symbol" w:cs="Symbol" w:hint="default"/>
        <w:sz w:val="18"/>
        <w:i/>
        <w:b w:val="false"/>
        <w:szCs w:val="18"/>
        <w:rFonts w:cs="Symbol"/>
        <w:color w:val="000000"/>
      </w:rPr>
    </w:lvl>
  </w:abstractNum>
  <w:abstractNum w:abstractNumId="11">
    <w:lvl w:ilvl="0">
      <w:start w:val="1"/>
      <w:numFmt w:val="bullet"/>
      <w:lvlText w:val=""/>
      <w:lvlJc w:val="left"/>
      <w:pPr>
        <w:tabs>
          <w:tab w:val="num" w:pos="360"/>
        </w:tabs>
        <w:ind w:left="360" w:hanging="360"/>
      </w:pPr>
      <w:rPr>
        <w:rFonts w:ascii="Symbol" w:hAnsi="Symbol" w:cs="Symbol" w:hint="default"/>
        <w:rFonts w:cs="Symbol"/>
      </w:rPr>
    </w:lvl>
  </w:abstractNum>
  <w:abstractNum w:abstractNumId="12">
    <w:lvl w:ilvl="0">
      <w:start w:val="1"/>
      <w:numFmt w:val="bullet"/>
      <w:lvlText w:val="o"/>
      <w:lvlJc w:val="left"/>
      <w:pPr>
        <w:tabs>
          <w:tab w:val="num" w:pos="720"/>
        </w:tabs>
        <w:ind w:left="720" w:hanging="360"/>
      </w:pPr>
      <w:rPr>
        <w:rFonts w:ascii="Courier New" w:hAnsi="Courier New" w:cs="Courier New" w:hint="default"/>
        <w:sz w:val="18"/>
        <w:i/>
        <w:b w:val="false"/>
        <w:szCs w:val="18"/>
        <w:rFonts w:cs="Courier New"/>
        <w:color w:val="000000"/>
      </w:rPr>
    </w:lvl>
  </w:abstractNum>
  <w:abstractNum w:abstractNumId="13">
    <w:lvl w:ilvl="0">
      <w:start w:val="1"/>
      <w:numFmt w:val="bullet"/>
      <w:lvlText w:val="o"/>
      <w:lvlJc w:val="left"/>
      <w:pPr>
        <w:tabs>
          <w:tab w:val="num" w:pos="1065"/>
        </w:tabs>
        <w:ind w:left="1065" w:hanging="360"/>
      </w:pPr>
      <w:rPr>
        <w:rFonts w:ascii="Courier New" w:hAnsi="Courier New" w:cs="Courier New" w:hint="default"/>
        <w:rFonts w:cs="Courier New"/>
      </w:rPr>
    </w:lvl>
    <w:lvl w:ilvl="1">
      <w:start w:val="1"/>
      <w:numFmt w:val="none"/>
      <w:suff w:val="nothing"/>
      <w:lvlText w:val="o"/>
      <w:lvlJc w:val="left"/>
      <w:pPr>
        <w:tabs>
          <w:tab w:val="num" w:pos="360"/>
        </w:tabs>
        <w:ind w:left="720" w:hanging="360"/>
      </w:pPr>
      <w:rPr>
        <w:rFonts w:ascii="Courier New" w:hAnsi="Courier New" w:cs="Courier New"/>
      </w:rPr>
    </w:lvl>
    <w:lvl w:ilvl="2">
      <w:start w:val="1"/>
      <w:numFmt w:val="none"/>
      <w:suff w:val="nothing"/>
      <w:lvlText w:val=""/>
      <w:lvlJc w:val="left"/>
      <w:pPr>
        <w:tabs>
          <w:tab w:val="num" w:pos="360"/>
        </w:tabs>
        <w:ind w:left="1080" w:hanging="360"/>
      </w:pPr>
      <w:rPr>
        <w:rFonts w:ascii="Wingdings" w:hAnsi="Wingdings" w:cs="Wingdings"/>
      </w:rPr>
    </w:lvl>
    <w:lvl w:ilvl="3">
      <w:start w:val="1"/>
      <w:numFmt w:val="none"/>
      <w:suff w:val="nothing"/>
      <w:lvlText w:val=""/>
      <w:lvlJc w:val="left"/>
      <w:pPr>
        <w:tabs>
          <w:tab w:val="num" w:pos="360"/>
        </w:tabs>
        <w:ind w:left="1440" w:hanging="360"/>
      </w:pPr>
      <w:rPr>
        <w:rFonts w:ascii="Symbol" w:hAnsi="Symbol" w:cs="Symbol"/>
      </w:rPr>
    </w:lvl>
    <w:lvl w:ilvl="4">
      <w:start w:val="1"/>
      <w:numFmt w:val="none"/>
      <w:suff w:val="nothing"/>
      <w:lvlText w:val="o"/>
      <w:lvlJc w:val="left"/>
      <w:pPr>
        <w:tabs>
          <w:tab w:val="num" w:pos="360"/>
        </w:tabs>
        <w:ind w:left="1800" w:hanging="360"/>
      </w:pPr>
      <w:rPr>
        <w:rFonts w:ascii="Courier New" w:hAnsi="Courier New" w:cs="Courier New"/>
      </w:rPr>
    </w:lvl>
    <w:lvl w:ilvl="5">
      <w:start w:val="1"/>
      <w:numFmt w:val="none"/>
      <w:suff w:val="nothing"/>
      <w:lvlText w:val=""/>
      <w:lvlJc w:val="left"/>
      <w:pPr>
        <w:tabs>
          <w:tab w:val="num" w:pos="360"/>
        </w:tabs>
        <w:ind w:left="2160" w:hanging="360"/>
      </w:pPr>
      <w:rPr>
        <w:rFonts w:ascii="Wingdings" w:hAnsi="Wingdings" w:cs="Wingdings"/>
      </w:rPr>
    </w:lvl>
    <w:lvl w:ilvl="6">
      <w:start w:val="1"/>
      <w:numFmt w:val="none"/>
      <w:suff w:val="nothing"/>
      <w:lvlText w:val=""/>
      <w:lvlJc w:val="left"/>
      <w:pPr>
        <w:tabs>
          <w:tab w:val="num" w:pos="360"/>
        </w:tabs>
        <w:ind w:left="2520" w:hanging="360"/>
      </w:pPr>
      <w:rPr>
        <w:rFonts w:ascii="Symbol" w:hAnsi="Symbol" w:cs="Symbol"/>
      </w:rPr>
    </w:lvl>
    <w:lvl w:ilvl="7">
      <w:start w:val="1"/>
      <w:numFmt w:val="none"/>
      <w:suff w:val="nothing"/>
      <w:lvlText w:val="o"/>
      <w:lvlJc w:val="left"/>
      <w:pPr>
        <w:tabs>
          <w:tab w:val="num" w:pos="360"/>
        </w:tabs>
        <w:ind w:left="2880" w:hanging="360"/>
      </w:pPr>
      <w:rPr>
        <w:rFonts w:ascii="Courier New" w:hAnsi="Courier New" w:cs="Courier New"/>
      </w:rPr>
    </w:lvl>
    <w:lvl w:ilvl="8">
      <w:start w:val="1"/>
      <w:numFmt w:val="none"/>
      <w:suff w:val="nothing"/>
      <w:lvlText w:val=""/>
      <w:lvlJc w:val="left"/>
      <w:pPr>
        <w:tabs>
          <w:tab w:val="num" w:pos="360"/>
        </w:tabs>
        <w:ind w:left="3240" w:hanging="360"/>
      </w:pPr>
      <w:rPr>
        <w:rFonts w:ascii="Wingdings" w:hAnsi="Wingdings" w:cs="Wingdings"/>
      </w:rPr>
    </w:lvl>
  </w:abstractNum>
  <w:abstractNum w:abstractNumId="14">
    <w:lvl w:ilvl="0">
      <w:start w:val="1"/>
      <w:numFmt w:val="bullet"/>
      <w:lvlText w:val=""/>
      <w:lvlJc w:val="left"/>
      <w:pPr>
        <w:ind w:left="360" w:hanging="360"/>
      </w:pPr>
      <w:rPr>
        <w:rFonts w:ascii="Symbol" w:hAnsi="Symbol" w:cs="Symbol" w:hint="default"/>
        <w:rFonts w:cs="Symbol"/>
      </w:rPr>
    </w:lvl>
  </w:abstractNum>
  <w:abstractNum w:abstractNumId="15">
    <w:lvl w:ilvl="0">
      <w:start w:val="1"/>
      <w:numFmt w:val="bullet"/>
      <w:lvlText w:val=""/>
      <w:lvlJc w:val="left"/>
      <w:pPr>
        <w:tabs>
          <w:tab w:val="num" w:pos="360"/>
        </w:tabs>
        <w:ind w:left="360" w:hanging="360"/>
      </w:pPr>
      <w:rPr>
        <w:rFonts w:ascii="Symbol" w:hAnsi="Symbol" w:cs="Symbol" w:hint="default"/>
        <w:rFonts w:cs="Symbol"/>
      </w:rPr>
    </w:lvl>
  </w:abstractNum>
  <w:abstractNum w:abstractNumId="16">
    <w:lvl w:ilvl="0">
      <w:start w:val="1"/>
      <w:numFmt w:val="bullet"/>
      <w:lvlText w:val=""/>
      <w:lvlJc w:val="left"/>
      <w:pPr>
        <w:tabs>
          <w:tab w:val="num" w:pos="360"/>
        </w:tabs>
        <w:ind w:left="360" w:hanging="360"/>
      </w:pPr>
      <w:rPr>
        <w:rFonts w:ascii="Symbol" w:hAnsi="Symbol" w:cs="Symbol" w:hint="default"/>
        <w:rFonts w:cs="Symbol"/>
      </w:rPr>
    </w:lvl>
  </w:abstractNum>
  <w:abstractNum w:abstractNumId="17">
    <w:lvl w:ilvl="0">
      <w:start w:val="1"/>
      <w:numFmt w:val="bullet"/>
      <w:lvlText w:val=""/>
      <w:lvlJc w:val="left"/>
      <w:pPr>
        <w:tabs>
          <w:tab w:val="num" w:pos="720"/>
        </w:tabs>
        <w:ind w:left="720" w:hanging="360"/>
      </w:pPr>
      <w:rPr>
        <w:rFonts w:ascii="Symbol" w:hAnsi="Symbol" w:cs="Symbol" w:hint="default"/>
        <w:sz w:val="18"/>
        <w:i/>
        <w:b w:val="false"/>
        <w:szCs w:val="18"/>
        <w:rFonts w:cs="Symbol"/>
        <w:color w:val="000000"/>
      </w:rPr>
    </w:lvl>
  </w:abstractNum>
  <w:abstractNum w:abstractNumId="18">
    <w:lvl w:ilvl="0">
      <w:start w:val="1"/>
      <w:numFmt w:val="bullet"/>
      <w:lvlText w:val=""/>
      <w:lvlJc w:val="left"/>
      <w:pPr>
        <w:ind w:left="360" w:hanging="360"/>
      </w:pPr>
      <w:rPr>
        <w:rFonts w:ascii="Symbol" w:hAnsi="Symbol" w:cs="Symbol" w:hint="default"/>
        <w:rFonts w:cs="Symbol"/>
      </w:rPr>
    </w:lvl>
  </w:abstractNum>
  <w:abstractNum w:abstractNumId="19">
    <w:lvl w:ilvl="0">
      <w:numFmt w:val="bullet"/>
      <w:lvlText w:val=""/>
      <w:lvlJc w:val="left"/>
      <w:pPr>
        <w:ind w:left="720" w:hanging="360"/>
      </w:pPr>
      <w:rPr>
        <w:rFonts w:ascii="Symbol" w:hAnsi="Symbol" w:cs="Symbol" w:hint="default"/>
        <w:rFonts w:cs="Symbol"/>
      </w:rPr>
    </w:lvl>
    <w:lvl w:ilvl="1">
      <w:start w:val="0"/>
      <w:numFmt w:val="bullet"/>
      <w:lvlText w:val="o"/>
      <w:lvlJc w:val="left"/>
      <w:pPr>
        <w:ind w:left="1440" w:hanging="360"/>
      </w:pPr>
      <w:rPr>
        <w:rFonts w:ascii="Courier New" w:hAnsi="Courier New" w:cs="Courier New" w:hint="default"/>
        <w:rFonts w:cs="Courier New"/>
      </w:rPr>
    </w:lvl>
    <w:lvl w:ilvl="2">
      <w:start w:val="0"/>
      <w:numFmt w:val="bullet"/>
      <w:lvlText w:val=""/>
      <w:lvlJc w:val="left"/>
      <w:pPr>
        <w:ind w:left="2160" w:hanging="360"/>
      </w:pPr>
      <w:rPr>
        <w:rFonts w:ascii="Wingdings" w:hAnsi="Wingdings" w:cs="Wingdings" w:hint="default"/>
        <w:rFonts w:cs="Wingdings"/>
      </w:rPr>
    </w:lvl>
    <w:lvl w:ilvl="3">
      <w:start w:val="0"/>
      <w:numFmt w:val="bullet"/>
      <w:lvlText w:val=""/>
      <w:lvlJc w:val="left"/>
      <w:pPr>
        <w:ind w:left="2880" w:hanging="360"/>
      </w:pPr>
      <w:rPr>
        <w:rFonts w:ascii="Symbol" w:hAnsi="Symbol" w:cs="Symbol" w:hint="default"/>
        <w:rFonts w:cs="Symbol"/>
      </w:rPr>
    </w:lvl>
    <w:lvl w:ilvl="4">
      <w:start w:val="0"/>
      <w:numFmt w:val="bullet"/>
      <w:lvlText w:val="o"/>
      <w:lvlJc w:val="left"/>
      <w:pPr>
        <w:ind w:left="3600" w:hanging="360"/>
      </w:pPr>
      <w:rPr>
        <w:rFonts w:ascii="Courier New" w:hAnsi="Courier New" w:cs="Courier New" w:hint="default"/>
        <w:rFonts w:cs="Courier New"/>
      </w:rPr>
    </w:lvl>
    <w:lvl w:ilvl="5">
      <w:start w:val="0"/>
      <w:numFmt w:val="bullet"/>
      <w:lvlText w:val=""/>
      <w:lvlJc w:val="left"/>
      <w:pPr>
        <w:ind w:left="4320" w:hanging="360"/>
      </w:pPr>
      <w:rPr>
        <w:rFonts w:ascii="Wingdings" w:hAnsi="Wingdings" w:cs="Wingdings" w:hint="default"/>
        <w:rFonts w:cs="Wingdings"/>
      </w:rPr>
    </w:lvl>
    <w:lvl w:ilvl="6">
      <w:start w:val="0"/>
      <w:numFmt w:val="bullet"/>
      <w:lvlText w:val=""/>
      <w:lvlJc w:val="left"/>
      <w:pPr>
        <w:ind w:left="5040" w:hanging="360"/>
      </w:pPr>
      <w:rPr>
        <w:rFonts w:ascii="Symbol" w:hAnsi="Symbol" w:cs="Symbol" w:hint="default"/>
        <w:rFonts w:cs="Symbol"/>
      </w:rPr>
    </w:lvl>
    <w:lvl w:ilvl="7">
      <w:start w:val="0"/>
      <w:numFmt w:val="bullet"/>
      <w:lvlText w:val="o"/>
      <w:lvlJc w:val="left"/>
      <w:pPr>
        <w:ind w:left="5760" w:hanging="360"/>
      </w:pPr>
      <w:rPr>
        <w:rFonts w:ascii="Courier New" w:hAnsi="Courier New" w:cs="Courier New" w:hint="default"/>
        <w:rFonts w:cs="Courier New"/>
      </w:rPr>
    </w:lvl>
    <w:lvl w:ilvl="8">
      <w:start w:val="0"/>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tabs>
          <w:tab w:val="num" w:pos="360"/>
        </w:tabs>
        <w:ind w:left="360" w:hanging="360"/>
      </w:pPr>
      <w:rPr>
        <w:rFonts w:ascii="Symbol" w:hAnsi="Symbol" w:cs="Symbol" w:hint="default"/>
        <w:sz w:val="16"/>
        <w:szCs w:val="16"/>
        <w:rFonts w:cs="Symbol"/>
      </w:rPr>
    </w:lvl>
  </w:abstractNum>
  <w:abstractNum w:abstractNumId="21">
    <w:lvl w:ilvl="0">
      <w:start w:val="1"/>
      <w:numFmt w:val="bullet"/>
      <w:lvlText w:val=""/>
      <w:lvlJc w:val="left"/>
      <w:pPr>
        <w:tabs>
          <w:tab w:val="num" w:pos="360"/>
        </w:tabs>
        <w:ind w:left="360" w:hanging="360"/>
      </w:pPr>
      <w:rPr>
        <w:rFonts w:ascii="Symbol" w:hAnsi="Symbol" w:cs="Symbol" w:hint="default"/>
        <w:rFonts w:cs="Symbol"/>
      </w:rPr>
    </w:lvl>
  </w:abstractNum>
  <w:abstractNum w:abstractNumId="22">
    <w:lvl w:ilvl="0">
      <w:start w:val="1"/>
      <w:numFmt w:val="bullet"/>
      <w:lvlText w:val=""/>
      <w:lvlJc w:val="left"/>
      <w:pPr>
        <w:ind w:left="720" w:hanging="360"/>
      </w:pPr>
      <w:rPr>
        <w:rFonts w:ascii="Symbol" w:hAnsi="Symbol" w:cs="Symbol" w:hint="default"/>
        <w:rFonts w:cs="Symbol"/>
      </w:rPr>
    </w:lvl>
  </w:abstractNum>
  <w:abstractNum w:abstractNumId="23">
    <w:lvl w:ilvl="0">
      <w:start w:val="1"/>
      <w:numFmt w:val="decimal"/>
      <w:lvlText w:val="%1)"/>
      <w:lvlJc w:val="left"/>
      <w:pPr>
        <w:ind w:left="360" w:hanging="360"/>
      </w:pPr>
      <w:rPr>
        <w:rFonts w:cs="Arial"/>
      </w:rPr>
    </w:lvl>
  </w:abstractNum>
  <w:abstractNum w:abstractNumId="24">
    <w:lvl w:ilvl="0">
      <w:start w:val="1"/>
      <w:numFmt w:val="bullet"/>
      <w:lvlText w:val=""/>
      <w:lvlJc w:val="left"/>
      <w:pPr>
        <w:ind w:left="654" w:hanging="360"/>
      </w:pPr>
      <w:rPr>
        <w:rFonts w:ascii="Symbol" w:hAnsi="Symbol" w:cs="Symbol" w:hint="default"/>
        <w:rFonts w:cs="Symbol"/>
      </w:rPr>
    </w:lvl>
  </w:abstractNum>
  <w:abstractNum w:abstractNumId="25">
    <w:lvl w:ilvl="0">
      <w:start w:val="1"/>
      <w:numFmt w:val="bullet"/>
      <w:lvlText w:val=""/>
      <w:lvlJc w:val="left"/>
      <w:pPr>
        <w:ind w:left="72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before="0" w:after="160"/>
      <w:textAlignment w:val="baseline"/>
    </w:pPr>
    <w:rPr>
      <w:rFonts w:ascii="Calibri" w:hAnsi="Calibri" w:eastAsia="Calibri" w:cs="Times New Roman"/>
      <w:color w:val="auto"/>
      <w:sz w:val="22"/>
      <w:szCs w:val="22"/>
      <w:lang w:val="it-IT" w:bidi="ar-SA" w:eastAsia="zh-CN"/>
    </w:rPr>
  </w:style>
  <w:style w:type="paragraph" w:styleId="Heading1">
    <w:name w:val="Heading 1"/>
    <w:basedOn w:val="Normal"/>
    <w:next w:val="TextBody"/>
    <w:qFormat/>
    <w:pPr>
      <w:numPr>
        <w:ilvl w:val="0"/>
        <w:numId w:val="1"/>
      </w:numPr>
      <w:suppressAutoHyphens w:val="true"/>
      <w:spacing w:before="100" w:after="100"/>
      <w:outlineLvl w:val="0"/>
    </w:pPr>
    <w:rPr>
      <w:rFonts w:ascii="Times New Roman" w:hAnsi="Times New Roman" w:eastAsia="Times New Roman" w:cs="Times New Roman"/>
      <w:b/>
      <w:bCs/>
      <w:sz w:val="48"/>
      <w:szCs w:val="48"/>
    </w:rPr>
  </w:style>
  <w:style w:type="paragraph" w:styleId="Heading2">
    <w:name w:val="Heading 2"/>
    <w:basedOn w:val="Normal"/>
    <w:next w:val="TextBody"/>
    <w:qFormat/>
    <w:pPr>
      <w:numPr>
        <w:ilvl w:val="1"/>
        <w:numId w:val="1"/>
      </w:numPr>
      <w:suppressAutoHyphens w:val="true"/>
      <w:spacing w:before="100" w:after="10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uppressAutoHyphens w:val="true"/>
      <w:spacing w:before="100" w:after="100"/>
      <w:outlineLvl w:val="2"/>
    </w:pPr>
    <w:rPr>
      <w:rFonts w:ascii="Times New Roman" w:hAnsi="Times New Roman" w:eastAsia="Times New Roman" w:cs="Times New Roman"/>
      <w:b/>
      <w:bCs/>
      <w:sz w:val="27"/>
      <w:szCs w:val="27"/>
    </w:rPr>
  </w:style>
  <w:style w:type="paragraph" w:styleId="Heading4">
    <w:name w:val="Heading 4"/>
    <w:basedOn w:val="Normal"/>
    <w:next w:val="TextBody"/>
    <w:qFormat/>
    <w:pPr>
      <w:numPr>
        <w:ilvl w:val="3"/>
        <w:numId w:val="1"/>
      </w:numPr>
      <w:suppressAutoHyphens w:val="true"/>
      <w:spacing w:before="100" w:after="100"/>
      <w:outlineLvl w:val="3"/>
    </w:pPr>
    <w:rPr>
      <w:rFonts w:ascii="Times New Roman" w:hAnsi="Times New Roman" w:eastAsia="Times New Roman" w:cs="Times New Roman"/>
      <w:b/>
      <w:bCs/>
      <w:sz w:val="24"/>
      <w:szCs w:val="24"/>
    </w:rPr>
  </w:style>
  <w:style w:type="paragraph" w:styleId="Heading5">
    <w:name w:val="Heading 5"/>
    <w:basedOn w:val="Normal"/>
    <w:next w:val="Normal"/>
    <w:qFormat/>
    <w:pPr>
      <w:keepNext w:val="true"/>
      <w:numPr>
        <w:ilvl w:val="4"/>
        <w:numId w:val="1"/>
      </w:numPr>
      <w:suppressAutoHyphens w:val="false"/>
      <w:spacing w:before="0" w:after="0"/>
      <w:jc w:val="center"/>
      <w:textAlignment w:val="auto"/>
      <w:outlineLvl w:val="4"/>
    </w:pPr>
    <w:rPr>
      <w:rFonts w:ascii="Arial" w:hAnsi="Arial" w:eastAsia="Times New Roman" w:cs="Arial"/>
      <w:i/>
      <w:shadow/>
      <w:sz w:val="28"/>
      <w:szCs w:val="20"/>
    </w:rPr>
  </w:style>
  <w:style w:type="paragraph" w:styleId="Heading6">
    <w:name w:val="Heading 6"/>
    <w:basedOn w:val="Normal"/>
    <w:next w:val="Normal"/>
    <w:qFormat/>
    <w:pPr>
      <w:keepNext w:val="true"/>
      <w:numPr>
        <w:ilvl w:val="5"/>
        <w:numId w:val="1"/>
      </w:numPr>
      <w:suppressAutoHyphens w:val="false"/>
      <w:spacing w:lineRule="auto" w:line="360" w:before="0" w:after="0"/>
      <w:ind w:right="-87" w:hanging="0"/>
      <w:jc w:val="both"/>
      <w:textAlignment w:val="auto"/>
      <w:outlineLvl w:val="5"/>
    </w:pPr>
    <w:rPr>
      <w:rFonts w:ascii="Verdana" w:hAnsi="Verdana" w:eastAsia="Times New Roman" w:cs="Verdana"/>
      <w:b/>
      <w:sz w:val="28"/>
      <w:szCs w:val="24"/>
    </w:rPr>
  </w:style>
  <w:style w:type="paragraph" w:styleId="Heading7">
    <w:name w:val="Heading 7"/>
    <w:basedOn w:val="Normal"/>
    <w:next w:val="Normal"/>
    <w:qFormat/>
    <w:pPr>
      <w:numPr>
        <w:ilvl w:val="6"/>
        <w:numId w:val="1"/>
      </w:numPr>
      <w:suppressAutoHyphens w:val="false"/>
      <w:spacing w:before="240" w:after="60"/>
      <w:textAlignment w:val="auto"/>
      <w:outlineLvl w:val="6"/>
    </w:pPr>
    <w:rPr>
      <w:rFonts w:ascii="Times New Roman" w:hAnsi="Times New Roman" w:eastAsia="Times New Roman" w:cs="Times New Roman"/>
      <w:sz w:val="24"/>
      <w:szCs w:val="24"/>
    </w:rPr>
  </w:style>
  <w:style w:type="paragraph" w:styleId="Heading8">
    <w:name w:val="Heading 8"/>
    <w:basedOn w:val="Normal"/>
    <w:next w:val="Normal"/>
    <w:qFormat/>
    <w:pPr>
      <w:numPr>
        <w:ilvl w:val="7"/>
        <w:numId w:val="1"/>
      </w:numPr>
      <w:suppressAutoHyphens w:val="false"/>
      <w:spacing w:before="240" w:after="60"/>
      <w:textAlignment w:val="auto"/>
      <w:outlineLvl w:val="7"/>
    </w:pPr>
    <w:rPr>
      <w:rFonts w:ascii="Times New Roman" w:hAnsi="Times New Roman" w:eastAsia="Times New Roman" w:cs="Times New Roman"/>
      <w:i/>
      <w:iCs/>
      <w:sz w:val="24"/>
      <w:szCs w:val="24"/>
    </w:rPr>
  </w:style>
  <w:style w:type="paragraph" w:styleId="Heading9">
    <w:name w:val="Heading 9"/>
    <w:basedOn w:val="Normal"/>
    <w:next w:val="Normal"/>
    <w:qFormat/>
    <w:pPr>
      <w:numPr>
        <w:ilvl w:val="8"/>
        <w:numId w:val="1"/>
      </w:numPr>
      <w:suppressAutoHyphens w:val="false"/>
      <w:spacing w:before="240" w:after="60"/>
      <w:textAlignment w:val="auto"/>
      <w:outlineLvl w:val="8"/>
    </w:pPr>
    <w:rPr>
      <w:rFonts w:ascii="Arial" w:hAnsi="Arial" w:eastAsia="Times New Roman" w:cs="Arial"/>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b w:val="false"/>
      <w:i/>
      <w:color w:val="000000"/>
      <w:sz w:val="18"/>
      <w:szCs w:val="18"/>
    </w:rPr>
  </w:style>
  <w:style w:type="character" w:styleId="WW8Num3z1">
    <w:name w:val="WW8Num3z1"/>
    <w:qFormat/>
    <w:rPr>
      <w:rFonts w:ascii="Symbol" w:hAnsi="Symbol" w:cs="Symbol"/>
    </w:rPr>
  </w:style>
  <w:style w:type="character" w:styleId="WW8Num3z2">
    <w:name w:val="WW8Num3z2"/>
    <w:qFormat/>
    <w:rPr>
      <w:rFonts w:ascii="Wingdings" w:hAnsi="Wingdings" w:cs="Wingdings"/>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ourier New" w:hAnsi="Courier New" w:cs="Courier New"/>
      <w:sz w:val="20"/>
      <w:szCs w:val="20"/>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b w:val="false"/>
      <w:i/>
      <w:color w:val="000000"/>
      <w:sz w:val="18"/>
      <w:szCs w:val="18"/>
    </w:rPr>
  </w:style>
  <w:style w:type="character" w:styleId="WW8Num5z1">
    <w:name w:val="WW8Num5z1"/>
    <w:qFormat/>
    <w:rPr>
      <w:rFonts w:ascii="Symbol" w:hAnsi="Symbol" w:cs="Symbol"/>
    </w:rPr>
  </w:style>
  <w:style w:type="character" w:styleId="WW8Num5z2">
    <w:name w:val="WW8Num5z2"/>
    <w:qFormat/>
    <w:rPr>
      <w:rFonts w:ascii="Wingdings" w:hAnsi="Wingdings" w:cs="Wingdings"/>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rFonts w:ascii="Symbol" w:hAnsi="Symbol" w:cs="Symbol"/>
      <w:b w:val="false"/>
      <w:i w:val="false"/>
      <w:caps w:val="false"/>
      <w:smallCaps w:val="false"/>
      <w:vanish w:val="false"/>
      <w:position w:val="0"/>
      <w:sz w:val="24"/>
      <w:vertAlign w:val="baseline"/>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Arial"/>
    </w:rPr>
  </w:style>
  <w:style w:type="character" w:styleId="WW8Num7z1">
    <w:name w:val="WW8Num7z1"/>
    <w:qFormat/>
    <w:rPr>
      <w:rFonts w:ascii="Wingdings" w:hAnsi="Wingdings" w:cs="Wingdings"/>
      <w:b w:val="false"/>
      <w:i w:val="false"/>
      <w:caps w:val="false"/>
      <w:smallCaps w:val="false"/>
      <w:vanish w:val="false"/>
      <w:position w:val="0"/>
      <w:sz w:val="24"/>
      <w:vertAlign w:val="baseline"/>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b w:val="false"/>
      <w:i/>
      <w:color w:val="000000"/>
      <w:sz w:val="18"/>
      <w:szCs w:val="18"/>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b w:val="false"/>
      <w:i/>
      <w:color w:val="000000"/>
      <w:sz w:val="18"/>
      <w:szCs w:val="18"/>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Verdana" w:hAnsi="Verdana" w:eastAsia="Times New Roman" w:cs="Times New Roman"/>
    </w:rPr>
  </w:style>
  <w:style w:type="character" w:styleId="WW8Num10z2">
    <w:name w:val="WW8Num10z2"/>
    <w:qFormat/>
    <w:rPr>
      <w:rFonts w:ascii="Wingdings" w:hAnsi="Wingdings" w:cs="Wingdings"/>
    </w:rPr>
  </w:style>
  <w:style w:type="character" w:styleId="WW8Num10z4">
    <w:name w:val="WW8Num10z4"/>
    <w:qFormat/>
    <w:rPr>
      <w:rFonts w:ascii="Courier New" w:hAnsi="Courier New" w:cs="Courier New"/>
    </w:rPr>
  </w:style>
  <w:style w:type="character" w:styleId="WW8Num11z0">
    <w:name w:val="WW8Num11z0"/>
    <w:qFormat/>
    <w:rPr>
      <w:rFonts w:ascii="Courier New" w:hAnsi="Courier New" w:cs="Courier New"/>
      <w:b w:val="false"/>
      <w:i/>
      <w:color w:val="000000"/>
      <w:sz w:val="18"/>
      <w:szCs w:val="18"/>
    </w:rPr>
  </w:style>
  <w:style w:type="character" w:styleId="WW8Num11z1">
    <w:name w:val="WW8Num11z1"/>
    <w:qFormat/>
    <w:rPr>
      <w:rFonts w:ascii="Wingdings" w:hAnsi="Wingdings" w:cs="Wingdings"/>
      <w:b w:val="false"/>
      <w:i/>
      <w:color w:val="000000"/>
      <w:sz w:val="18"/>
      <w:szCs w:val="18"/>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Verdana" w:hAnsi="Verdana" w:eastAsia="Times New Roman"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rFonts w:ascii="Symbol" w:hAnsi="Symbol" w:cs="Symbol"/>
      <w:b w:val="false"/>
      <w:i/>
      <w:color w:val="000000"/>
      <w:sz w:val="18"/>
      <w:szCs w:val="18"/>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16"/>
      <w:szCs w:val="16"/>
    </w:rPr>
  </w:style>
  <w:style w:type="character" w:styleId="WW8Num19z1">
    <w:name w:val="WW8Num19z1"/>
    <w:qFormat/>
    <w:rPr>
      <w:rFonts w:ascii="Verdana" w:hAnsi="Verdana" w:eastAsia="Times New Roman" w:cs="Times New Roman"/>
    </w:rPr>
  </w:style>
  <w:style w:type="character" w:styleId="WW8Num19z2">
    <w:name w:val="WW8Num19z2"/>
    <w:qFormat/>
    <w:rPr>
      <w:rFonts w:ascii="Wingdings" w:hAnsi="Wingdings" w:cs="Wingdings"/>
    </w:rPr>
  </w:style>
  <w:style w:type="character" w:styleId="WW8Num19z4">
    <w:name w:val="WW8Num19z4"/>
    <w:qFormat/>
    <w:rPr>
      <w:rFonts w:ascii="Courier New" w:hAnsi="Courier New" w:cs="Courier New"/>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cs="Arial"/>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Carpredefinitoparagrafo">
    <w:name w:val="Car. predefinito paragrafo"/>
    <w:qFormat/>
    <w:rPr/>
  </w:style>
  <w:style w:type="character" w:styleId="Titolo1Carattere">
    <w:name w:val="Titolo 1 Carattere"/>
    <w:qFormat/>
    <w:rPr>
      <w:rFonts w:ascii="Times New Roman" w:hAnsi="Times New Roman" w:eastAsia="Times New Roman" w:cs="Times New Roman"/>
      <w:b/>
      <w:bCs/>
      <w:sz w:val="48"/>
      <w:szCs w:val="48"/>
    </w:rPr>
  </w:style>
  <w:style w:type="character" w:styleId="Titolo2Carattere">
    <w:name w:val="Titolo 2 Carattere"/>
    <w:qFormat/>
    <w:rPr>
      <w:rFonts w:ascii="Times New Roman" w:hAnsi="Times New Roman" w:eastAsia="Times New Roman" w:cs="Times New Roman"/>
      <w:b/>
      <w:bCs/>
      <w:sz w:val="36"/>
      <w:szCs w:val="36"/>
    </w:rPr>
  </w:style>
  <w:style w:type="character" w:styleId="Titolo3Carattere">
    <w:name w:val="Titolo 3 Carattere"/>
    <w:qFormat/>
    <w:rPr>
      <w:rFonts w:ascii="Times New Roman" w:hAnsi="Times New Roman" w:eastAsia="Times New Roman" w:cs="Times New Roman"/>
      <w:b/>
      <w:bCs/>
      <w:sz w:val="27"/>
      <w:szCs w:val="27"/>
    </w:rPr>
  </w:style>
  <w:style w:type="character" w:styleId="Titolo4Carattere">
    <w:name w:val="Titolo 4 Carattere"/>
    <w:qFormat/>
    <w:rPr>
      <w:rFonts w:ascii="Times New Roman" w:hAnsi="Times New Roman" w:eastAsia="Times New Roman" w:cs="Times New Roman"/>
      <w:b/>
      <w:bCs/>
      <w:sz w:val="24"/>
      <w:szCs w:val="24"/>
    </w:rPr>
  </w:style>
  <w:style w:type="character" w:styleId="InternetLink">
    <w:name w:val="Internet Link"/>
    <w:rPr>
      <w:color w:val="0000FF"/>
      <w:u w:val="single"/>
    </w:rPr>
  </w:style>
  <w:style w:type="character" w:styleId="Alt">
    <w:name w:val="alt"/>
    <w:basedOn w:val="Carpredefinitoparagrafo"/>
    <w:qFormat/>
    <w:rPr/>
  </w:style>
  <w:style w:type="character" w:styleId="StrongEmphasis">
    <w:name w:val="Strong Emphasis"/>
    <w:qFormat/>
    <w:rPr>
      <w:b/>
      <w:bCs/>
    </w:rPr>
  </w:style>
  <w:style w:type="character" w:styleId="Style21">
    <w:name w:val="style21"/>
    <w:qFormat/>
    <w:rPr>
      <w:shd w:fill="FFFFFF" w:val="clear"/>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Appleconvertedspace">
    <w:name w:val="apple-converted-space"/>
    <w:basedOn w:val="Carpredefinitoparagrafo"/>
    <w:qFormat/>
    <w:rPr/>
  </w:style>
  <w:style w:type="character" w:styleId="Blacksmalltitlearancione">
    <w:name w:val="blacksmalltitle_arancione"/>
    <w:basedOn w:val="Carpredefinitoparagrafo"/>
    <w:qFormat/>
    <w:rPr/>
  </w:style>
  <w:style w:type="character" w:styleId="Titolettosmartblu">
    <w:name w:val="titolettosmart_blu"/>
    <w:basedOn w:val="Carpredefinitoparagrafo"/>
    <w:qForma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VisitedInternetLink">
    <w:name w:val="Visited Internet Link"/>
    <w:rPr>
      <w:color w:val="954F72"/>
      <w:u w:val="single"/>
    </w:rPr>
  </w:style>
  <w:style w:type="character" w:styleId="FootnoteCharacters">
    <w:name w:val="Footnote Characters"/>
    <w:qFormat/>
    <w:rPr>
      <w:vertAlign w:val="superscript"/>
    </w:rPr>
  </w:style>
  <w:style w:type="character" w:styleId="Titolo5Carattere">
    <w:name w:val="Titolo 5 Carattere"/>
    <w:qFormat/>
    <w:rPr>
      <w:rFonts w:ascii="Arial" w:hAnsi="Arial" w:eastAsia="Times New Roman" w:cs="Arial"/>
      <w:i/>
      <w:shadow/>
      <w:sz w:val="28"/>
    </w:rPr>
  </w:style>
  <w:style w:type="character" w:styleId="Titolo6Carattere">
    <w:name w:val="Titolo 6 Carattere"/>
    <w:qFormat/>
    <w:rPr>
      <w:rFonts w:ascii="Verdana" w:hAnsi="Verdana" w:eastAsia="Times New Roman" w:cs="Verdana"/>
      <w:b/>
      <w:sz w:val="28"/>
      <w:szCs w:val="24"/>
    </w:rPr>
  </w:style>
  <w:style w:type="character" w:styleId="Titolo7Carattere">
    <w:name w:val="Titolo 7 Carattere"/>
    <w:qFormat/>
    <w:rPr>
      <w:rFonts w:ascii="Times New Roman" w:hAnsi="Times New Roman" w:eastAsia="Times New Roman" w:cs="Times New Roman"/>
      <w:sz w:val="24"/>
      <w:szCs w:val="24"/>
    </w:rPr>
  </w:style>
  <w:style w:type="character" w:styleId="Titolo8Carattere">
    <w:name w:val="Titolo 8 Carattere"/>
    <w:qFormat/>
    <w:rPr>
      <w:rFonts w:ascii="Times New Roman" w:hAnsi="Times New Roman" w:eastAsia="Times New Roman" w:cs="Times New Roman"/>
      <w:i/>
      <w:iCs/>
      <w:sz w:val="24"/>
      <w:szCs w:val="24"/>
    </w:rPr>
  </w:style>
  <w:style w:type="character" w:styleId="Titolo9Carattere">
    <w:name w:val="Titolo 9 Carattere"/>
    <w:qFormat/>
    <w:rPr>
      <w:rFonts w:ascii="Arial" w:hAnsi="Arial" w:eastAsia="Times New Roman" w:cs="Arial"/>
      <w:sz w:val="22"/>
      <w:szCs w:val="22"/>
    </w:rPr>
  </w:style>
  <w:style w:type="character" w:styleId="TestonotaapidipaginaCarattere">
    <w:name w:val="Testo nota a piè di pagina Carattere"/>
    <w:qFormat/>
    <w:rPr>
      <w:rFonts w:ascii="Times New Roman" w:hAnsi="Times New Roman" w:eastAsia="Times New Roman" w:cs="Times New Roman"/>
    </w:rPr>
  </w:style>
  <w:style w:type="character" w:styleId="Corpodeltesto2Carattere">
    <w:name w:val="Corpo del testo 2 Carattere"/>
    <w:qFormat/>
    <w:rPr>
      <w:rFonts w:ascii="Arial" w:hAnsi="Arial" w:eastAsia="Times New Roman" w:cs="Arial"/>
      <w:i/>
    </w:rPr>
  </w:style>
  <w:style w:type="character" w:styleId="RientrocorpodeltestoCarattere">
    <w:name w:val="Rientro corpo del testo Carattere"/>
    <w:qFormat/>
    <w:rPr>
      <w:rFonts w:ascii="Times New Roman" w:hAnsi="Times New Roman" w:eastAsia="Times New Roman" w:cs="Times New Roman"/>
      <w:sz w:val="24"/>
      <w:szCs w:val="24"/>
    </w:rPr>
  </w:style>
  <w:style w:type="character" w:styleId="Corpodeltesto3Carattere">
    <w:name w:val="Corpo del testo 3 Carattere"/>
    <w:qFormat/>
    <w:rPr>
      <w:rFonts w:ascii="Times New Roman" w:hAnsi="Times New Roman" w:eastAsia="Times New Roman" w:cs="Times New Roman"/>
      <w:sz w:val="16"/>
      <w:szCs w:val="16"/>
    </w:rPr>
  </w:style>
  <w:style w:type="character" w:styleId="NormaleWebCarattere">
    <w:name w:val="Normale (Web) Carattere"/>
    <w:qFormat/>
    <w:rPr>
      <w:rFonts w:ascii="Times New Roman" w:hAnsi="Times New Roman" w:eastAsia="Times New Roman" w:cs="Times New Roman"/>
      <w:sz w:val="24"/>
      <w:szCs w:val="24"/>
    </w:rPr>
  </w:style>
  <w:style w:type="character" w:styleId="TitoloCarattere">
    <w:name w:val="Titolo Carattere"/>
    <w:qFormat/>
    <w:rPr>
      <w:rFonts w:ascii="Times New Roman" w:hAnsi="Times New Roman" w:eastAsia="Times New Roman" w:cs="Times New Roman"/>
      <w:b/>
      <w:sz w:val="30"/>
    </w:rPr>
  </w:style>
  <w:style w:type="character" w:styleId="Stile1Carattere">
    <w:name w:val="Stile1 Carattere"/>
    <w:qFormat/>
    <w:rPr>
      <w:rFonts w:ascii="Verdana" w:hAnsi="Verdana" w:eastAsia="Times New Roman" w:cs="Verdana"/>
      <w:bCs/>
      <w:sz w:val="18"/>
      <w:szCs w:val="18"/>
    </w:rPr>
  </w:style>
  <w:style w:type="character" w:styleId="Intro1">
    <w:name w:val="intro1"/>
    <w:qFormat/>
    <w:rPr>
      <w:rFonts w:ascii="Times New Roman" w:hAnsi="Times New Roman" w:cs="Times New Roman"/>
      <w:color w:val="000000"/>
      <w:sz w:val="21"/>
      <w:szCs w:val="21"/>
    </w:rPr>
  </w:style>
  <w:style w:type="character" w:styleId="Rientrocorpodeltesto2Carattere">
    <w:name w:val="Rientro corpo del testo 2 Carattere"/>
    <w:qFormat/>
    <w:rPr>
      <w:rFonts w:ascii="Times New Roman" w:hAnsi="Times New Roman" w:eastAsia="Times New Roman" w:cs="Times New Roman"/>
      <w:sz w:val="24"/>
      <w:szCs w:val="24"/>
    </w:rPr>
  </w:style>
  <w:style w:type="character" w:styleId="Rientrocorpodeltesto3Carattere">
    <w:name w:val="Rientro corpo del testo 3 Carattere"/>
    <w:qFormat/>
    <w:rPr>
      <w:rFonts w:ascii="Times New Roman" w:hAnsi="Times New Roman" w:eastAsia="Times New Roman" w:cs="Times New Roman"/>
      <w:sz w:val="16"/>
      <w:szCs w:val="16"/>
    </w:rPr>
  </w:style>
  <w:style w:type="character" w:styleId="PageNumber">
    <w:name w:val="Page Number"/>
    <w:rPr/>
  </w:style>
  <w:style w:type="character" w:styleId="TestocommentoCarattere">
    <w:name w:val="Testo commento Carattere"/>
    <w:qFormat/>
    <w:rPr>
      <w:rFonts w:ascii="Times New Roman" w:hAnsi="Times New Roman" w:eastAsia="Times New Roman" w:cs="Times New Roman"/>
    </w:rPr>
  </w:style>
  <w:style w:type="character" w:styleId="SottotitoloCarattere">
    <w:name w:val="Sottotitolo Carattere"/>
    <w:qFormat/>
    <w:rPr>
      <w:rFonts w:ascii="Times New Roman" w:hAnsi="Times New Roman" w:eastAsia="Times New Roman" w:cs="Times New Roman"/>
      <w:b/>
      <w:iCs/>
      <w:sz w:val="16"/>
    </w:rPr>
  </w:style>
  <w:style w:type="character" w:styleId="FollowedHyperlink">
    <w:name w:val="FollowedHyperlink"/>
    <w:qFormat/>
    <w:rPr>
      <w:color w:val="800080"/>
      <w:u w:val="single"/>
    </w:rPr>
  </w:style>
  <w:style w:type="character" w:styleId="NormalCarattere">
    <w:name w:val="normal Carattere"/>
    <w:qFormat/>
    <w:rPr>
      <w:rFonts w:ascii="Times New Roman" w:hAnsi="Times New Roman" w:eastAsia="Times New Roman" w:cs="Times New Roman"/>
      <w:sz w:val="24"/>
      <w:szCs w:val="24"/>
    </w:rPr>
  </w:style>
  <w:style w:type="character" w:styleId="Agg050102">
    <w:name w:val="agg05-0102"/>
    <w:qFormat/>
    <w:rPr/>
  </w:style>
  <w:style w:type="character" w:styleId="Nero12bold1">
    <w:name w:val="nero12bold1"/>
    <w:qFormat/>
    <w:rPr>
      <w:rFonts w:ascii="Verdana" w:hAnsi="Verdana" w:cs="Verdana"/>
      <w:b/>
      <w:bCs/>
      <w:strike w:val="false"/>
      <w:dstrike w:val="false"/>
      <w:color w:val="000000"/>
      <w:sz w:val="14"/>
      <w:szCs w:val="14"/>
      <w:u w:val="none"/>
    </w:rPr>
  </w:style>
  <w:style w:type="character" w:styleId="CorpodeltestoCarattere">
    <w:name w:val="Corpo del testo Carattere"/>
    <w:qFormat/>
    <w:rPr>
      <w:sz w:val="24"/>
      <w:szCs w:val="24"/>
    </w:rPr>
  </w:style>
  <w:style w:type="character" w:styleId="CorpotestoCarattere">
    <w:name w:val="Corpo testo Carattere"/>
    <w:qFormat/>
    <w:rPr>
      <w:sz w:val="22"/>
      <w:szCs w:val="22"/>
    </w:rPr>
  </w:style>
  <w:style w:type="character" w:styleId="Titoletto">
    <w:name w:val="titoletto"/>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suppressAutoHyphens w:val="false"/>
      <w:spacing w:before="0" w:after="0"/>
      <w:jc w:val="center"/>
      <w:textAlignment w:val="auto"/>
    </w:pPr>
    <w:rPr>
      <w:rFonts w:ascii="Times New Roman" w:hAnsi="Times New Roman" w:eastAsia="Times New Roman" w:cs="Times New Roman"/>
      <w:b/>
      <w:sz w:val="30"/>
      <w:szCs w:val="20"/>
    </w:rPr>
  </w:style>
  <w:style w:type="paragraph" w:styleId="TextBody">
    <w:name w:val="Body Text"/>
    <w:basedOn w:val="Normal"/>
    <w:pPr>
      <w:spacing w:before="0" w:after="120"/>
    </w:pPr>
    <w:rPr/>
  </w:style>
  <w:style w:type="paragraph" w:styleId="List">
    <w:name w:val="List"/>
    <w:basedOn w:val="Normal"/>
    <w:pPr>
      <w:suppressAutoHyphens w:val="false"/>
      <w:spacing w:lineRule="atLeast" w:line="240" w:before="280" w:after="280"/>
      <w:ind w:hanging="425"/>
      <w:jc w:val="both"/>
      <w:textAlignment w:val="auto"/>
    </w:pPr>
    <w:rPr>
      <w:rFonts w:ascii="Arial" w:hAnsi="Arial" w:eastAsia="Arial Unicode MS" w:cs="Arial"/>
      <w:sz w:val="19"/>
      <w:szCs w:val="19"/>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eWeb">
    <w:name w:val="Normale (Web)"/>
    <w:basedOn w:val="Normal"/>
    <w:qFormat/>
    <w:pPr>
      <w:suppressAutoHyphens w:val="true"/>
      <w:spacing w:before="100" w:after="100"/>
    </w:pPr>
    <w:rPr>
      <w:rFonts w:ascii="Times New Roman" w:hAnsi="Times New Roman" w:eastAsia="Times New Roman" w:cs="Times New Roman"/>
      <w:sz w:val="24"/>
      <w:szCs w:val="24"/>
    </w:rPr>
  </w:style>
  <w:style w:type="paragraph" w:styleId="Nessunaspaziatura">
    <w:name w:val="Nessuna spaziatura"/>
    <w:qFormat/>
    <w:pPr>
      <w:widowControl/>
      <w:suppressAutoHyphens w:val="true"/>
      <w:textAlignment w:val="baseline"/>
    </w:pPr>
    <w:rPr>
      <w:rFonts w:ascii="Times New Roman" w:hAnsi="Times New Roman" w:eastAsia="Times New Roman" w:cs="Times New Roman"/>
      <w:color w:val="auto"/>
      <w:sz w:val="20"/>
      <w:szCs w:val="20"/>
      <w:lang w:val="it-IT" w:bidi="ar-SA" w:eastAsia="zh-CN"/>
    </w:rPr>
  </w:style>
  <w:style w:type="paragraph" w:styleId="Paragrafoelenco">
    <w:name w:val="Paragrafo elenco"/>
    <w:basedOn w:val="Normal"/>
    <w:qFormat/>
    <w:pPr>
      <w:suppressAutoHyphens w:val="true"/>
      <w:spacing w:before="0" w:after="0"/>
      <w:ind w:left="708" w:hanging="0"/>
    </w:pPr>
    <w:rPr>
      <w:rFonts w:ascii="Times New Roman" w:hAnsi="Times New Roman" w:eastAsia="Times New Roman" w:cs="Times New Roman"/>
      <w:sz w:val="24"/>
      <w:szCs w:val="24"/>
    </w:rPr>
  </w:style>
  <w:style w:type="paragraph" w:styleId="Testofumetto">
    <w:name w:val="Testo fumetto"/>
    <w:basedOn w:val="Normal"/>
    <w:qFormat/>
    <w:pPr>
      <w:suppressAutoHyphens w:val="true"/>
      <w:spacing w:before="0" w:after="0"/>
    </w:pPr>
    <w:rPr>
      <w:rFonts w:ascii="Tahoma" w:hAnsi="Tahoma" w:cs="Tahoma"/>
      <w:sz w:val="16"/>
      <w:szCs w:val="16"/>
    </w:rPr>
  </w:style>
  <w:style w:type="paragraph" w:styleId="Default">
    <w:name w:val="Default"/>
    <w:qFormat/>
    <w:pPr>
      <w:widowControl/>
      <w:suppressAutoHyphens w:val="true"/>
      <w:autoSpaceDE w:val="false"/>
      <w:textAlignment w:val="baseline"/>
    </w:pPr>
    <w:rPr>
      <w:rFonts w:ascii="Times New Roman" w:hAnsi="Times New Roman" w:eastAsia="Calibri" w:cs="Times New Roman"/>
      <w:color w:val="000000"/>
      <w:sz w:val="24"/>
      <w:szCs w:val="24"/>
      <w:lang w:val="it-IT" w:bidi="ar-SA" w:eastAsia="zh-CN"/>
    </w:rPr>
  </w:style>
  <w:style w:type="paragraph" w:styleId="Header">
    <w:name w:val="Header"/>
    <w:basedOn w:val="Normal"/>
    <w:pPr>
      <w:suppressAutoHyphens w:val="true"/>
      <w:spacing w:before="0" w:after="0"/>
    </w:pPr>
    <w:rPr/>
  </w:style>
  <w:style w:type="paragraph" w:styleId="Footer">
    <w:name w:val="Footer"/>
    <w:basedOn w:val="Normal"/>
    <w:pPr>
      <w:suppressAutoHyphens w:val="true"/>
      <w:spacing w:before="0" w:after="0"/>
    </w:pPr>
    <w:rPr/>
  </w:style>
  <w:style w:type="paragraph" w:styleId="Standard">
    <w:name w:val="Standard"/>
    <w:qFormat/>
    <w:pPr>
      <w:widowControl/>
      <w:textAlignment w:val="baseline"/>
    </w:pPr>
    <w:rPr>
      <w:rFonts w:ascii="Times New Roman" w:hAnsi="Times New Roman" w:eastAsia="Times New Roman" w:cs="Times New Roman"/>
      <w:color w:val="auto"/>
      <w:sz w:val="24"/>
      <w:szCs w:val="24"/>
      <w:lang w:val="it-IT" w:bidi="ar-SA" w:eastAsia="zh-CN"/>
    </w:rPr>
  </w:style>
  <w:style w:type="paragraph" w:styleId="Footnote">
    <w:name w:val="Footnote Text"/>
    <w:basedOn w:val="Normal"/>
    <w:pPr>
      <w:suppressAutoHyphens w:val="false"/>
      <w:spacing w:before="0" w:after="0"/>
      <w:textAlignment w:val="auto"/>
    </w:pPr>
    <w:rPr>
      <w:rFonts w:ascii="Times New Roman" w:hAnsi="Times New Roman" w:eastAsia="Times New Roman" w:cs="Times New Roman"/>
      <w:sz w:val="20"/>
      <w:szCs w:val="20"/>
    </w:rPr>
  </w:style>
  <w:style w:type="paragraph" w:styleId="Corpodeltesto2">
    <w:name w:val="Corpo del testo 2"/>
    <w:basedOn w:val="Normal"/>
    <w:qFormat/>
    <w:pPr>
      <w:suppressAutoHyphens w:val="false"/>
      <w:spacing w:before="0" w:after="0"/>
      <w:textAlignment w:val="auto"/>
    </w:pPr>
    <w:rPr>
      <w:rFonts w:ascii="Arial" w:hAnsi="Arial" w:eastAsia="Times New Roman" w:cs="Arial"/>
      <w:i/>
      <w:sz w:val="20"/>
      <w:szCs w:val="20"/>
    </w:rPr>
  </w:style>
  <w:style w:type="paragraph" w:styleId="NormalWeb">
    <w:name w:val="Normal (Web)"/>
    <w:basedOn w:val="Normal"/>
    <w:qFormat/>
    <w:pPr>
      <w:suppressAutoHyphens w:val="false"/>
      <w:overflowPunct w:val="false"/>
      <w:autoSpaceDE w:val="false"/>
      <w:spacing w:before="100" w:after="100"/>
    </w:pPr>
    <w:rPr>
      <w:rFonts w:ascii="Times New Roman" w:hAnsi="Times New Roman" w:eastAsia="Times New Roman" w:cs="Times New Roman"/>
      <w:sz w:val="24"/>
      <w:szCs w:val="24"/>
    </w:rPr>
  </w:style>
  <w:style w:type="paragraph" w:styleId="TextBodyIndent">
    <w:name w:val="Body Text Indent"/>
    <w:basedOn w:val="Normal"/>
    <w:pPr>
      <w:suppressAutoHyphens w:val="false"/>
      <w:spacing w:before="0" w:after="120"/>
      <w:ind w:left="283" w:hanging="0"/>
      <w:textAlignment w:val="auto"/>
    </w:pPr>
    <w:rPr>
      <w:rFonts w:ascii="Times New Roman" w:hAnsi="Times New Roman" w:eastAsia="Times New Roman" w:cs="Times New Roman"/>
      <w:sz w:val="24"/>
      <w:szCs w:val="24"/>
    </w:rPr>
  </w:style>
  <w:style w:type="paragraph" w:styleId="Corpodeltesto3">
    <w:name w:val="Corpo del testo 3"/>
    <w:basedOn w:val="Normal"/>
    <w:qFormat/>
    <w:pPr>
      <w:suppressAutoHyphens w:val="false"/>
      <w:spacing w:before="0" w:after="120"/>
      <w:textAlignment w:val="auto"/>
    </w:pPr>
    <w:rPr>
      <w:rFonts w:ascii="Times New Roman" w:hAnsi="Times New Roman" w:eastAsia="Times New Roman" w:cs="Times New Roman"/>
      <w:sz w:val="16"/>
      <w:szCs w:val="16"/>
    </w:rPr>
  </w:style>
  <w:style w:type="paragraph" w:styleId="Didascalia">
    <w:name w:val="Didascalia"/>
    <w:basedOn w:val="Normal"/>
    <w:next w:val="Normal"/>
    <w:qFormat/>
    <w:pPr>
      <w:suppressAutoHyphens w:val="false"/>
      <w:spacing w:before="0" w:after="0"/>
      <w:textAlignment w:val="auto"/>
    </w:pPr>
    <w:rPr>
      <w:rFonts w:ascii="Arial" w:hAnsi="Arial" w:eastAsia="Times New Roman" w:cs="Arial"/>
      <w:i/>
      <w:sz w:val="20"/>
      <w:szCs w:val="24"/>
    </w:rPr>
  </w:style>
  <w:style w:type="paragraph" w:styleId="Stile1">
    <w:name w:val="Stile1"/>
    <w:basedOn w:val="Normal"/>
    <w:qFormat/>
    <w:pPr>
      <w:suppressAutoHyphens w:val="false"/>
      <w:spacing w:before="0" w:after="0"/>
      <w:ind w:right="-1" w:firstLine="708"/>
      <w:textAlignment w:val="auto"/>
    </w:pPr>
    <w:rPr>
      <w:rFonts w:ascii="Verdana" w:hAnsi="Verdana" w:eastAsia="Times New Roman" w:cs="Verdana"/>
      <w:bCs/>
      <w:sz w:val="18"/>
      <w:szCs w:val="18"/>
    </w:rPr>
  </w:style>
  <w:style w:type="paragraph" w:styleId="Rientrocorpodeltesto2">
    <w:name w:val="Rientro corpo del testo 2"/>
    <w:basedOn w:val="Normal"/>
    <w:qFormat/>
    <w:pPr>
      <w:suppressAutoHyphens w:val="false"/>
      <w:spacing w:lineRule="auto" w:line="480" w:before="0" w:after="120"/>
      <w:ind w:left="283" w:hanging="0"/>
      <w:textAlignment w:val="auto"/>
    </w:pPr>
    <w:rPr>
      <w:rFonts w:ascii="Times New Roman" w:hAnsi="Times New Roman" w:eastAsia="Times New Roman" w:cs="Times New Roman"/>
      <w:sz w:val="24"/>
      <w:szCs w:val="24"/>
    </w:rPr>
  </w:style>
  <w:style w:type="paragraph" w:styleId="Rientrocorpodeltesto3">
    <w:name w:val="Rientro corpo del testo 3"/>
    <w:basedOn w:val="Normal"/>
    <w:qFormat/>
    <w:pPr>
      <w:suppressAutoHyphens w:val="false"/>
      <w:spacing w:before="0" w:after="120"/>
      <w:ind w:left="283" w:hanging="0"/>
      <w:textAlignment w:val="auto"/>
    </w:pPr>
    <w:rPr>
      <w:rFonts w:ascii="Times New Roman" w:hAnsi="Times New Roman" w:eastAsia="Times New Roman" w:cs="Times New Roman"/>
      <w:sz w:val="16"/>
      <w:szCs w:val="16"/>
    </w:rPr>
  </w:style>
  <w:style w:type="paragraph" w:styleId="BodyText2">
    <w:name w:val="Body Text 2"/>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Index1">
    <w:name w:val="Index 1"/>
    <w:basedOn w:val="Normal"/>
    <w:next w:val="Normal"/>
    <w:pPr>
      <w:suppressAutoHyphens w:val="false"/>
      <w:spacing w:before="0" w:after="0"/>
      <w:ind w:right="-54" w:hanging="0"/>
      <w:jc w:val="both"/>
      <w:textAlignment w:val="auto"/>
    </w:pPr>
    <w:rPr>
      <w:rFonts w:ascii="Verdana" w:hAnsi="Verdana" w:eastAsia="Times New Roman" w:cs="Verdana"/>
      <w:i/>
      <w:sz w:val="14"/>
      <w:szCs w:val="16"/>
    </w:rPr>
  </w:style>
  <w:style w:type="paragraph" w:styleId="IndexHeading">
    <w:name w:val="Index Heading"/>
    <w:basedOn w:val="Normal"/>
    <w:next w:val="Index1"/>
    <w:pPr>
      <w:suppressAutoHyphens w:val="false"/>
      <w:spacing w:before="0" w:after="0"/>
      <w:textAlignment w:val="auto"/>
    </w:pPr>
    <w:rPr>
      <w:rFonts w:ascii="Times New Roman" w:hAnsi="Times New Roman" w:eastAsia="Times New Roman" w:cs="Times New Roman"/>
      <w:sz w:val="20"/>
      <w:szCs w:val="24"/>
    </w:rPr>
  </w:style>
  <w:style w:type="paragraph" w:styleId="BodyText3">
    <w:name w:val="Body Text 3"/>
    <w:basedOn w:val="Normal"/>
    <w:qFormat/>
    <w:pPr>
      <w:suppressAutoHyphens w:val="false"/>
      <w:overflowPunct w:val="false"/>
      <w:autoSpaceDE w:val="false"/>
      <w:spacing w:before="0" w:after="0"/>
      <w:textAlignment w:val="auto"/>
    </w:pPr>
    <w:rPr>
      <w:rFonts w:ascii="Comic Sans MS" w:hAnsi="Comic Sans MS" w:eastAsia="Times New Roman" w:cs="Comic Sans MS"/>
      <w:i/>
      <w:sz w:val="14"/>
      <w:szCs w:val="20"/>
    </w:rPr>
  </w:style>
  <w:style w:type="paragraph" w:styleId="Testocommento">
    <w:name w:val="Testo commento"/>
    <w:basedOn w:val="Normal"/>
    <w:qFormat/>
    <w:pPr>
      <w:suppressAutoHyphens w:val="false"/>
      <w:spacing w:before="0" w:after="0"/>
      <w:textAlignment w:val="auto"/>
    </w:pPr>
    <w:rPr>
      <w:rFonts w:ascii="Times New Roman" w:hAnsi="Times New Roman" w:eastAsia="Times New Roman" w:cs="Times New Roman"/>
      <w:sz w:val="20"/>
      <w:szCs w:val="20"/>
    </w:rPr>
  </w:style>
  <w:style w:type="paragraph" w:styleId="Testodelblocco">
    <w:name w:val="Testo del blocco"/>
    <w:basedOn w:val="Normal"/>
    <w:qFormat/>
    <w:pPr>
      <w:suppressAutoHyphens w:val="false"/>
      <w:spacing w:before="0" w:after="0"/>
      <w:ind w:left="705" w:right="-2" w:hanging="0"/>
      <w:jc w:val="both"/>
      <w:textAlignment w:val="auto"/>
    </w:pPr>
    <w:rPr>
      <w:rFonts w:ascii="Verdana" w:hAnsi="Verdana" w:eastAsia="Times New Roman" w:cs="Verdana"/>
      <w:bCs/>
      <w:sz w:val="26"/>
      <w:szCs w:val="24"/>
    </w:rPr>
  </w:style>
  <w:style w:type="paragraph" w:styleId="Subtitle">
    <w:name w:val="Subtitle"/>
    <w:basedOn w:val="Normal"/>
    <w:next w:val="TextBody"/>
    <w:qFormat/>
    <w:pPr>
      <w:suppressAutoHyphens w:val="false"/>
      <w:spacing w:before="0" w:after="0"/>
      <w:ind w:right="-70" w:hanging="0"/>
      <w:textAlignment w:val="auto"/>
    </w:pPr>
    <w:rPr>
      <w:rFonts w:ascii="Times New Roman" w:hAnsi="Times New Roman" w:eastAsia="Times New Roman" w:cs="Times New Roman"/>
      <w:b/>
      <w:iCs/>
      <w:sz w:val="16"/>
      <w:szCs w:val="20"/>
    </w:rPr>
  </w:style>
  <w:style w:type="paragraph" w:styleId="BlockText">
    <w:name w:val="Block Text"/>
    <w:basedOn w:val="Normal"/>
    <w:qFormat/>
    <w:pPr>
      <w:tabs>
        <w:tab w:val="left" w:pos="360" w:leader="none"/>
      </w:tabs>
      <w:suppressAutoHyphens w:val="false"/>
      <w:spacing w:before="0" w:after="0"/>
      <w:ind w:left="360" w:right="1984" w:hanging="0"/>
      <w:jc w:val="both"/>
      <w:textAlignment w:val="auto"/>
    </w:pPr>
    <w:rPr>
      <w:rFonts w:ascii="Comic Sans MS" w:hAnsi="Comic Sans MS" w:eastAsia="Times New Roman" w:cs="Comic Sans MS"/>
      <w:sz w:val="18"/>
      <w:szCs w:val="20"/>
    </w:rPr>
  </w:style>
  <w:style w:type="paragraph" w:styleId="BodyTextIndent2">
    <w:name w:val="Body Text Indent 2"/>
    <w:basedOn w:val="Normal"/>
    <w:qFormat/>
    <w:pPr>
      <w:pBdr>
        <w:top w:val="single" w:sz="6" w:space="0" w:color="000000"/>
        <w:left w:val="single" w:sz="6" w:space="0" w:color="000000"/>
        <w:bottom w:val="single" w:sz="6" w:space="0" w:color="000000"/>
        <w:right w:val="single" w:sz="6" w:space="0" w:color="000000"/>
      </w:pBdr>
      <w:suppressAutoHyphens w:val="false"/>
      <w:overflowPunct w:val="false"/>
      <w:autoSpaceDE w:val="false"/>
      <w:spacing w:before="0" w:after="0"/>
      <w:ind w:left="360" w:hanging="360"/>
      <w:jc w:val="both"/>
    </w:pPr>
    <w:rPr>
      <w:rFonts w:ascii="Arial" w:hAnsi="Arial" w:eastAsia="Times New Roman" w:cs="Arial"/>
      <w:i/>
      <w:sz w:val="20"/>
      <w:szCs w:val="20"/>
    </w:rPr>
  </w:style>
  <w:style w:type="paragraph" w:styleId="BodyTextIndent3">
    <w:name w:val="Body Text Indent 3"/>
    <w:basedOn w:val="Normal"/>
    <w:qFormat/>
    <w:pPr>
      <w:suppressAutoHyphens w:val="false"/>
      <w:overflowPunct w:val="false"/>
      <w:autoSpaceDE w:val="false"/>
      <w:spacing w:before="0" w:after="0"/>
      <w:ind w:left="1418" w:hanging="0"/>
      <w:jc w:val="both"/>
    </w:pPr>
    <w:rPr>
      <w:rFonts w:ascii="Arial" w:hAnsi="Arial" w:eastAsia="Times New Roman" w:cs="Arial"/>
      <w:b/>
      <w:shadow/>
      <w:sz w:val="20"/>
      <w:szCs w:val="20"/>
    </w:rPr>
  </w:style>
  <w:style w:type="paragraph" w:styleId="Normal1">
    <w:name w:val="LO-normal"/>
    <w:basedOn w:val="Normal"/>
    <w:qFormat/>
    <w:pPr>
      <w:suppressAutoHyphens w:val="false"/>
      <w:spacing w:before="280" w:after="280"/>
      <w:textAlignment w:val="auto"/>
    </w:pPr>
    <w:rPr>
      <w:rFonts w:ascii="Times New Roman" w:hAnsi="Times New Roman" w:eastAsia="Times New Roman" w:cs="Times New Roman"/>
      <w:sz w:val="24"/>
      <w:szCs w:val="24"/>
    </w:rPr>
  </w:style>
  <w:style w:type="paragraph" w:styleId="Notemio">
    <w:name w:val="note mio"/>
    <w:basedOn w:val="Normal"/>
    <w:qFormat/>
    <w:pPr>
      <w:suppressAutoHyphens w:val="false"/>
      <w:spacing w:before="0" w:after="0"/>
      <w:jc w:val="both"/>
      <w:textAlignment w:val="auto"/>
    </w:pPr>
    <w:rPr>
      <w:rFonts w:ascii="Times New Roman" w:hAnsi="Times New Roman" w:eastAsia="Arial Unicode MS" w:cs="Arial"/>
      <w:i/>
      <w:sz w:val="20"/>
      <w:szCs w:val="16"/>
    </w:rPr>
  </w:style>
  <w:style w:type="paragraph" w:styleId="Comma">
    <w:name w:val="comma"/>
    <w:basedOn w:val="Normal"/>
    <w:qFormat/>
    <w:pPr>
      <w:suppressAutoHyphens w:val="false"/>
      <w:spacing w:lineRule="atLeast" w:line="240" w:before="280" w:after="280"/>
      <w:ind w:firstLine="425"/>
      <w:jc w:val="both"/>
      <w:textAlignment w:val="auto"/>
    </w:pPr>
    <w:rPr>
      <w:rFonts w:ascii="Arial" w:hAnsi="Arial" w:eastAsia="Arial Unicode MS" w:cs="Arial"/>
      <w:sz w:val="19"/>
      <w:szCs w:val="19"/>
    </w:rPr>
  </w:style>
  <w:style w:type="paragraph" w:styleId="Corpodeltesto21">
    <w:name w:val="Corpo del testo 21"/>
    <w:basedOn w:val="Normal"/>
    <w:qFormat/>
    <w:pPr>
      <w:suppressAutoHyphens w:val="false"/>
      <w:overflowPunct w:val="false"/>
      <w:autoSpaceDE w:val="false"/>
      <w:spacing w:before="0" w:after="0"/>
    </w:pPr>
    <w:rPr>
      <w:rFonts w:ascii="Arial" w:hAnsi="Arial" w:eastAsia="Times New Roman" w:cs="Arial"/>
      <w:i/>
      <w:sz w:val="20"/>
      <w:szCs w:val="20"/>
    </w:rPr>
  </w:style>
  <w:style w:type="paragraph" w:styleId="Puntoelenco">
    <w:name w:val="Punto elenco"/>
    <w:basedOn w:val="Normal"/>
    <w:qFormat/>
    <w:pPr>
      <w:numPr>
        <w:ilvl w:val="0"/>
        <w:numId w:val="2"/>
      </w:numPr>
      <w:suppressAutoHyphens w:val="false"/>
      <w:spacing w:before="0" w:after="0"/>
      <w:contextualSpacing/>
      <w:textAlignment w:val="auto"/>
    </w:pPr>
    <w:rPr>
      <w:rFonts w:ascii="Times New Roman" w:hAnsi="Times New Roman" w:eastAsia="Times New Roman" w:cs="Times New Roman"/>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98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2020-08-31T07:44:00Z</dcterms:created>
  <dc:creator>Andrea Piredda</dc:creator>
  <dc:description/>
  <dc:language>en-US</dc:language>
  <cp:lastModifiedBy>Andrea Piredda</cp:lastModifiedBy>
  <cp:lastPrinted>2017-01-28T10:41:00Z</cp:lastPrinted>
  <dcterms:modified xsi:type="dcterms:W3CDTF">2020-09-02T11:43:00Z</dcterms:modified>
  <cp:revision>10</cp:revision>
  <dc:subject/>
  <dc:title/>
</cp:coreProperties>
</file>